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20" w:rsidRPr="000A62E9" w:rsidRDefault="00784855" w:rsidP="00EF0FA4">
      <w:pPr>
        <w:spacing w:after="240" w:line="240" w:lineRule="auto"/>
        <w:ind w:firstLine="851"/>
        <w:jc w:val="center"/>
        <w:rPr>
          <w:rFonts w:ascii="Sylfaen" w:hAnsi="Sylfaen" w:cstheme="minorHAnsi"/>
          <w:b/>
          <w:sz w:val="24"/>
          <w:szCs w:val="24"/>
          <w:lang w:val="ka-GE"/>
        </w:rPr>
      </w:pPr>
      <w:r w:rsidRPr="000A62E9">
        <w:rPr>
          <w:rFonts w:ascii="Sylfaen" w:hAnsi="Sylfaen" w:cstheme="minorHAnsi"/>
          <w:b/>
          <w:sz w:val="24"/>
          <w:szCs w:val="24"/>
          <w:lang w:val="ka-GE"/>
        </w:rPr>
        <w:t>მთავრობის</w:t>
      </w:r>
      <w:r w:rsidR="005A44F5" w:rsidRPr="000A62E9">
        <w:rPr>
          <w:rFonts w:ascii="Sylfaen" w:hAnsi="Sylfaen" w:cstheme="minorHAnsi"/>
          <w:b/>
          <w:sz w:val="24"/>
          <w:szCs w:val="24"/>
          <w:lang w:val="ka-GE"/>
        </w:rPr>
        <w:t xml:space="preserve"> ვალი</w:t>
      </w:r>
    </w:p>
    <w:p w:rsidR="009C4F41" w:rsidRPr="000A62E9" w:rsidRDefault="00CC46C4" w:rsidP="00B30BCE">
      <w:pPr>
        <w:spacing w:after="0" w:line="240" w:lineRule="auto"/>
        <w:jc w:val="both"/>
        <w:rPr>
          <w:rFonts w:ascii="Sylfaen" w:hAnsi="Sylfaen" w:cstheme="minorHAnsi"/>
          <w:szCs w:val="21"/>
          <w:shd w:val="clear" w:color="auto" w:fill="FFFFFF"/>
          <w:lang w:val="ka-GE"/>
        </w:rPr>
      </w:pPr>
      <w:r w:rsidRPr="000A62E9">
        <w:rPr>
          <w:rFonts w:ascii="Sylfaen" w:hAnsi="Sylfaen" w:cstheme="minorHAnsi"/>
          <w:sz w:val="24"/>
          <w:szCs w:val="18"/>
          <w:shd w:val="clear" w:color="auto" w:fill="FFFFFF"/>
        </w:rPr>
        <w:tab/>
      </w:r>
      <w:r w:rsidR="009C4F41"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„ეკონომიკური თავისუფლების შესახებ“ საქართველოს ორგანული კანონის შესაბამისად განსაზღვრული ლიმიტის ფარგლებში მთავრობის ვალის ნაშთი და საჯარო და კერძო თანამშრომლობის კრიტერიუმების შესაბამისი პროექტების ფარგლებში აღებული </w:t>
      </w:r>
      <w:r w:rsidR="009C4F41" w:rsidRPr="00DB2FC3">
        <w:rPr>
          <w:rFonts w:ascii="Sylfaen" w:hAnsi="Sylfaen" w:cstheme="minorHAnsi"/>
          <w:szCs w:val="21"/>
          <w:shd w:val="clear" w:color="auto" w:fill="FFFFFF"/>
          <w:lang w:val="ka-GE"/>
        </w:rPr>
        <w:t>ვალდებულებების მიმდინარე ღირებულების ჯამი</w:t>
      </w:r>
      <w:r w:rsidR="00044527" w:rsidRPr="00DB2FC3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2023</w:t>
      </w:r>
      <w:r w:rsidR="009C4F41" w:rsidRPr="00DB2FC3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წლის </w:t>
      </w:r>
      <w:r w:rsidR="00856D52" w:rsidRPr="00DB2FC3">
        <w:rPr>
          <w:rFonts w:ascii="Sylfaen" w:hAnsi="Sylfaen" w:cstheme="minorHAnsi"/>
          <w:szCs w:val="21"/>
          <w:shd w:val="clear" w:color="auto" w:fill="FFFFFF"/>
        </w:rPr>
        <w:t>30</w:t>
      </w:r>
      <w:r w:rsidR="009C4F41" w:rsidRPr="00DB2FC3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B458C8" w:rsidRPr="00DB2FC3">
        <w:rPr>
          <w:rFonts w:ascii="Sylfaen" w:hAnsi="Sylfaen" w:cstheme="minorHAnsi"/>
          <w:szCs w:val="21"/>
          <w:shd w:val="clear" w:color="auto" w:fill="FFFFFF"/>
          <w:lang w:val="ka-GE"/>
        </w:rPr>
        <w:t>სექტემბრის</w:t>
      </w:r>
      <w:r w:rsidR="009C4F41" w:rsidRPr="00DB2FC3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მდგომარეობით შეადგენს </w:t>
      </w:r>
      <w:r w:rsidR="00856D52" w:rsidRPr="00DB2FC3">
        <w:rPr>
          <w:rFonts w:ascii="Sylfaen" w:hAnsi="Sylfaen" w:cstheme="minorHAnsi"/>
          <w:szCs w:val="21"/>
          <w:shd w:val="clear" w:color="auto" w:fill="FFFFFF"/>
        </w:rPr>
        <w:t>29</w:t>
      </w:r>
      <w:r w:rsidR="00D73205" w:rsidRPr="00DB2FC3">
        <w:rPr>
          <w:rFonts w:ascii="Sylfaen" w:hAnsi="Sylfaen" w:cstheme="minorHAnsi"/>
          <w:szCs w:val="21"/>
          <w:shd w:val="clear" w:color="auto" w:fill="FFFFFF"/>
          <w:lang w:val="ka-GE"/>
        </w:rPr>
        <w:t> </w:t>
      </w:r>
      <w:r w:rsidR="00B458C8" w:rsidRPr="00DB2FC3">
        <w:rPr>
          <w:rFonts w:ascii="Sylfaen" w:hAnsi="Sylfaen" w:cstheme="minorHAnsi"/>
          <w:szCs w:val="21"/>
          <w:shd w:val="clear" w:color="auto" w:fill="FFFFFF"/>
        </w:rPr>
        <w:t>759.0</w:t>
      </w:r>
      <w:r w:rsidR="009C4F41" w:rsidRPr="00DB2FC3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მლნ ლარს.</w:t>
      </w:r>
      <w:bookmarkStart w:id="0" w:name="_GoBack"/>
      <w:bookmarkEnd w:id="0"/>
    </w:p>
    <w:p w:rsidR="009C4F41" w:rsidRPr="000A62E9" w:rsidRDefault="009C4F41" w:rsidP="00B30BCE">
      <w:pPr>
        <w:spacing w:after="0" w:line="240" w:lineRule="auto"/>
        <w:ind w:firstLine="720"/>
        <w:jc w:val="both"/>
        <w:rPr>
          <w:rFonts w:ascii="Sylfaen" w:hAnsi="Sylfaen" w:cstheme="minorHAnsi"/>
          <w:szCs w:val="21"/>
          <w:shd w:val="clear" w:color="auto" w:fill="FFFFFF"/>
          <w:lang w:val="ka-GE"/>
        </w:rPr>
      </w:pP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ზემოხსენებული</w:t>
      </w:r>
      <w:r w:rsidR="00BC3E51"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>ჯამური</w:t>
      </w:r>
      <w:r w:rsidR="00BC3E51"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ვალდებულება მოიცავს „სახელმწიფო ვალის შესახებ“ საქართველოს კანონით გათვალისწინებულ სახელმწიფო ვალს, გარდა საქართველოს ეროვნული ბანკის მიერ აღებული ვალდებულებებისა - </w:t>
      </w:r>
      <w:r w:rsidR="00B458C8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29</w:t>
      </w:r>
      <w:r w:rsidR="004A4AF2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 </w:t>
      </w:r>
      <w:r w:rsidR="00B458C8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605</w:t>
      </w:r>
      <w:r w:rsidR="004A4AF2" w:rsidRPr="000A62E9">
        <w:rPr>
          <w:rFonts w:ascii="Sylfaen" w:hAnsi="Sylfaen" w:cstheme="minorHAnsi"/>
          <w:szCs w:val="21"/>
          <w:shd w:val="clear" w:color="auto" w:fill="FFFFFF"/>
        </w:rPr>
        <w:t>.</w:t>
      </w:r>
      <w:r w:rsidR="00B458C8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2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მლნ ლარს,</w:t>
      </w:r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საბიუჯეტო ორგანიზაციების სესხების  არსებულ ნაშთს - </w:t>
      </w:r>
      <w:r w:rsidR="00856D52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8</w:t>
      </w:r>
      <w:r w:rsidR="00B458C8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3</w:t>
      </w:r>
      <w:r w:rsidR="00D73205" w:rsidRPr="000A62E9">
        <w:rPr>
          <w:rFonts w:ascii="Sylfaen" w:hAnsi="Sylfaen" w:cstheme="minorHAnsi"/>
          <w:szCs w:val="21"/>
          <w:shd w:val="clear" w:color="auto" w:fill="FFFFFF"/>
        </w:rPr>
        <w:t>.</w:t>
      </w:r>
      <w:r w:rsidR="00044527" w:rsidRPr="000A62E9">
        <w:rPr>
          <w:rFonts w:ascii="Sylfaen" w:hAnsi="Sylfaen" w:cstheme="minorHAnsi"/>
          <w:szCs w:val="21"/>
          <w:shd w:val="clear" w:color="auto" w:fill="FFFFFF"/>
        </w:rPr>
        <w:t>6</w:t>
      </w:r>
      <w:r w:rsidR="00D73205"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მლნ ლარს და საჯარო და კერძო თანამშრომლობის კრიტერიუმების შესაბამისი პროექტების ფარგლებში აღებული ვალდებულებების მიმდინარე ღირებულებას - </w:t>
      </w:r>
      <w:r w:rsidR="00B458C8" w:rsidRPr="000A62E9">
        <w:rPr>
          <w:rFonts w:ascii="Sylfaen" w:hAnsi="Sylfaen" w:cstheme="minorHAnsi"/>
          <w:szCs w:val="21"/>
          <w:shd w:val="clear" w:color="auto" w:fill="FFFFFF"/>
        </w:rPr>
        <w:t>70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>.</w:t>
      </w:r>
      <w:r w:rsidR="00B458C8" w:rsidRPr="000A62E9">
        <w:rPr>
          <w:rFonts w:ascii="Sylfaen" w:hAnsi="Sylfaen" w:cstheme="minorHAnsi"/>
          <w:szCs w:val="21"/>
          <w:shd w:val="clear" w:color="auto" w:fill="FFFFFF"/>
        </w:rPr>
        <w:t>2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მლნ ლარს.</w:t>
      </w:r>
    </w:p>
    <w:p w:rsidR="009C4F41" w:rsidRPr="000A62E9" w:rsidRDefault="009C4F41" w:rsidP="00B30BCE">
      <w:pPr>
        <w:spacing w:after="0" w:line="240" w:lineRule="auto"/>
        <w:ind w:firstLine="720"/>
        <w:jc w:val="both"/>
        <w:rPr>
          <w:rFonts w:ascii="Sylfaen" w:hAnsi="Sylfaen" w:cstheme="minorHAnsi"/>
          <w:szCs w:val="21"/>
          <w:shd w:val="clear" w:color="auto" w:fill="FFFFFF"/>
          <w:lang w:val="ka-GE"/>
        </w:rPr>
      </w:pPr>
    </w:p>
    <w:p w:rsidR="009C4F41" w:rsidRPr="000A62E9" w:rsidRDefault="009C4F41" w:rsidP="00A11E3F">
      <w:pPr>
        <w:spacing w:line="240" w:lineRule="auto"/>
        <w:ind w:firstLine="720"/>
        <w:jc w:val="center"/>
        <w:rPr>
          <w:rFonts w:ascii="Sylfaen" w:hAnsi="Sylfaen" w:cstheme="minorHAnsi"/>
          <w:b/>
          <w:szCs w:val="21"/>
          <w:shd w:val="clear" w:color="auto" w:fill="FFFFFF"/>
          <w:lang w:val="ka-GE"/>
        </w:rPr>
      </w:pPr>
      <w:r w:rsidRPr="000A62E9">
        <w:rPr>
          <w:rFonts w:ascii="Sylfaen" w:hAnsi="Sylfaen" w:cstheme="minorHAnsi"/>
          <w:b/>
          <w:szCs w:val="21"/>
          <w:shd w:val="clear" w:color="auto" w:fill="FFFFFF"/>
          <w:lang w:val="ka-GE"/>
        </w:rPr>
        <w:t>მთავრობის საგარეო ვალი</w:t>
      </w:r>
    </w:p>
    <w:p w:rsidR="009C4F41" w:rsidRPr="000A62E9" w:rsidRDefault="009C4F41" w:rsidP="004A4AF2">
      <w:pPr>
        <w:spacing w:line="240" w:lineRule="auto"/>
        <w:ind w:firstLine="851"/>
        <w:jc w:val="both"/>
        <w:rPr>
          <w:rFonts w:ascii="Sylfaen" w:hAnsi="Sylfaen" w:cstheme="minorHAnsi"/>
          <w:szCs w:val="21"/>
          <w:shd w:val="clear" w:color="auto" w:fill="FFFFFF"/>
          <w:lang w:val="ka-GE"/>
        </w:rPr>
      </w:pP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მთავრობის საგარეო ვალის ნაშთი, </w:t>
      </w:r>
      <w:r w:rsidR="00EC5195" w:rsidRPr="000A62E9">
        <w:rPr>
          <w:rFonts w:ascii="Sylfaen" w:hAnsi="Sylfaen" w:cstheme="minorHAnsi"/>
          <w:szCs w:val="21"/>
          <w:shd w:val="clear" w:color="auto" w:fill="FFFFFF"/>
        </w:rPr>
        <w:t>21</w:t>
      </w:r>
      <w:r w:rsidR="00711F67"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B458C8" w:rsidRPr="000A62E9">
        <w:rPr>
          <w:rFonts w:ascii="Sylfaen" w:hAnsi="Sylfaen" w:cstheme="minorHAnsi"/>
          <w:szCs w:val="21"/>
          <w:shd w:val="clear" w:color="auto" w:fill="FFFFFF"/>
        </w:rPr>
        <w:t>540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>.</w:t>
      </w:r>
      <w:r w:rsidR="00B458C8" w:rsidRPr="000A62E9">
        <w:rPr>
          <w:rFonts w:ascii="Sylfaen" w:hAnsi="Sylfaen" w:cstheme="minorHAnsi"/>
          <w:szCs w:val="21"/>
          <w:shd w:val="clear" w:color="auto" w:fill="FFFFFF"/>
        </w:rPr>
        <w:t>2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მლნ ლარი,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მთლიანი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>მთავრობის</w:t>
      </w:r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ვალის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r w:rsidR="00937534" w:rsidRPr="000A62E9">
        <w:rPr>
          <w:rFonts w:ascii="Sylfaen" w:hAnsi="Sylfaen" w:cstheme="minorHAnsi"/>
          <w:szCs w:val="21"/>
          <w:shd w:val="clear" w:color="auto" w:fill="FFFFFF"/>
        </w:rPr>
        <w:t>7</w:t>
      </w:r>
      <w:r w:rsidR="00EC5195" w:rsidRPr="000A62E9">
        <w:rPr>
          <w:rFonts w:ascii="Sylfaen" w:hAnsi="Sylfaen" w:cstheme="minorHAnsi"/>
          <w:szCs w:val="21"/>
          <w:shd w:val="clear" w:color="auto" w:fill="FFFFFF"/>
        </w:rPr>
        <w:t>3</w:t>
      </w:r>
      <w:r w:rsidRPr="000A62E9">
        <w:rPr>
          <w:rFonts w:ascii="Sylfaen" w:hAnsi="Sylfaen" w:cstheme="minorHAnsi"/>
          <w:szCs w:val="21"/>
          <w:shd w:val="clear" w:color="auto" w:fill="FFFFFF"/>
        </w:rPr>
        <w:t>%-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>ია</w:t>
      </w:r>
      <w:r w:rsidRPr="000A62E9">
        <w:rPr>
          <w:rFonts w:ascii="Sylfaen" w:hAnsi="Sylfaen" w:cstheme="minorHAnsi"/>
          <w:szCs w:val="21"/>
          <w:shd w:val="clear" w:color="auto" w:fill="FFFFFF"/>
        </w:rPr>
        <w:t xml:space="preserve">. 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>აღნიშნული</w:t>
      </w:r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საკრედიტო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რესურსის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დიდი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ნაწილი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მიღებულია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მრავალმხრივი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და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ორმხრივი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დონორებისგან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>/პარტნიორებისგან ქვეყნისათვის პრიორიტეტული ინფრასტრუქტურული პროექტების დასაფინანსებლად</w:t>
      </w:r>
      <w:r w:rsidRPr="000A62E9">
        <w:rPr>
          <w:rFonts w:ascii="Sylfaen" w:hAnsi="Sylfaen" w:cstheme="minorHAnsi"/>
          <w:szCs w:val="21"/>
          <w:shd w:val="clear" w:color="auto" w:fill="FFFFFF"/>
        </w:rPr>
        <w:t xml:space="preserve">. 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>მთავრობის</w:t>
      </w:r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საგარეო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ვალი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>ს პორტფელი შეღავათიანია და ძირითადად შედგება გრძელვადიანი სესხებისგან -</w:t>
      </w:r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პორტფელის საშუალო შეწონილი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საკონტრაქტო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ვადიანობა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შეადგენს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r w:rsidR="0027372A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21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>.</w:t>
      </w:r>
      <w:r w:rsidR="0027372A" w:rsidRPr="000A62E9">
        <w:rPr>
          <w:rFonts w:ascii="Sylfaen" w:hAnsi="Sylfaen" w:cstheme="minorHAnsi"/>
          <w:szCs w:val="21"/>
          <w:shd w:val="clear" w:color="auto" w:fill="FFFFFF"/>
        </w:rPr>
        <w:t>4</w:t>
      </w:r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წელს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>, საშუალო შეწონილი ვადიანობა დაფარვამდე შეადგენს დაახლოებით</w:t>
      </w:r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r w:rsidR="002C5398" w:rsidRPr="000A62E9">
        <w:rPr>
          <w:rFonts w:ascii="Sylfaen" w:hAnsi="Sylfaen" w:cstheme="minorHAnsi"/>
          <w:szCs w:val="21"/>
          <w:shd w:val="clear" w:color="auto" w:fill="FFFFFF"/>
        </w:rPr>
        <w:t>9.</w:t>
      </w:r>
      <w:r w:rsidR="00ED1847" w:rsidRPr="000A62E9">
        <w:rPr>
          <w:rFonts w:ascii="Sylfaen" w:hAnsi="Sylfaen" w:cstheme="minorHAnsi"/>
          <w:szCs w:val="21"/>
          <w:shd w:val="clear" w:color="auto" w:fill="FFFFFF"/>
        </w:rPr>
        <w:t>6</w:t>
      </w:r>
      <w:r w:rsidR="003F6B8E"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წელს, ხოლო მთავრობის საგარეო ვალის საშუალო შეწონილი საპროცენტო განაკვეთი შეადგენს </w:t>
      </w:r>
      <w:r w:rsidR="00EC5195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3</w:t>
      </w:r>
      <w:r w:rsidR="006865FC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.</w:t>
      </w:r>
      <w:r w:rsidR="00EC5195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2</w:t>
      </w:r>
      <w:r w:rsidR="00B458C8" w:rsidRPr="000A62E9">
        <w:rPr>
          <w:rFonts w:ascii="Sylfaen" w:hAnsi="Sylfaen" w:cstheme="minorHAnsi"/>
          <w:szCs w:val="21"/>
          <w:shd w:val="clear" w:color="auto" w:fill="FFFFFF"/>
        </w:rPr>
        <w:t>7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>%-ს.</w:t>
      </w:r>
    </w:p>
    <w:p w:rsidR="006F4202" w:rsidRPr="000A62E9" w:rsidRDefault="00396821" w:rsidP="004A4AF2">
      <w:pPr>
        <w:tabs>
          <w:tab w:val="left" w:pos="720"/>
        </w:tabs>
        <w:spacing w:after="0" w:line="240" w:lineRule="auto"/>
        <w:ind w:firstLine="709"/>
        <w:jc w:val="center"/>
        <w:rPr>
          <w:rFonts w:ascii="Sylfaen" w:hAnsi="Sylfaen" w:cstheme="minorHAnsi"/>
          <w:b/>
          <w:szCs w:val="18"/>
          <w:shd w:val="clear" w:color="auto" w:fill="FFFFFF"/>
          <w:lang w:val="ka-GE"/>
        </w:rPr>
      </w:pPr>
      <w:r w:rsidRPr="000A62E9">
        <w:rPr>
          <w:rFonts w:ascii="Sylfaen" w:hAnsi="Sylfaen" w:cstheme="minorHAnsi"/>
          <w:noProof/>
          <w:color w:val="8064A2" w:themeColor="accent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8F00D6" wp14:editId="0B20080F">
                <wp:simplePos x="0" y="0"/>
                <wp:positionH relativeFrom="margin">
                  <wp:posOffset>3952875</wp:posOffset>
                </wp:positionH>
                <wp:positionV relativeFrom="paragraph">
                  <wp:posOffset>829945</wp:posOffset>
                </wp:positionV>
                <wp:extent cx="2552700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A62E9" w:rsidRPr="00CD702B" w:rsidRDefault="000A62E9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CD702B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საშუალო შეწონილი</w:t>
                              </w:r>
                              <w:r w:rsidRPr="00CD702B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:rsidR="000A62E9" w:rsidRPr="00CD702B" w:rsidRDefault="000A62E9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CD702B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CD702B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 განაკვეთი</w:t>
                              </w:r>
                              <w:r w:rsidRPr="00CD702B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D702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3.</w:t>
                              </w:r>
                              <w:r w:rsidRPr="00CD702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27%</w:t>
                              </w:r>
                            </w:p>
                            <w:p w:rsidR="000A62E9" w:rsidRPr="00CD702B" w:rsidRDefault="000A62E9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highlight w:val="yellow"/>
                                  <w:lang w:val="ka-GE"/>
                                </w:rPr>
                              </w:pPr>
                              <w:r w:rsidRPr="00CD702B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CD702B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საკონტრაქტო ვადიანობა</w:t>
                              </w:r>
                              <w:r w:rsidRPr="00CD702B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A4CEA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21.4</w:t>
                              </w:r>
                              <w:r w:rsidRPr="000A4CEA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  <w:p w:rsidR="000A62E9" w:rsidRPr="00DE4001" w:rsidRDefault="000A62E9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ED1847">
                                <w:rPr>
                                  <w:rFonts w:asciiTheme="minorHAnsi" w:hAnsiTheme="minorHAnsi" w:cstheme="minorHAns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- დარჩენილი ვადიანობა</w:t>
                              </w:r>
                              <w:r w:rsidRPr="00ED184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D184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9.6</w:t>
                              </w:r>
                              <w:r w:rsidRPr="00ED184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8F00D6" id="Group 6" o:spid="_x0000_s1026" style="position:absolute;left:0;text-align:left;margin-left:311.25pt;margin-top:65.35pt;width:201pt;height:49.35pt;z-index:251661312;mso-position-horizontal-relative:margin;mso-width-relative:margin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0A62E9" w:rsidRPr="00CD702B" w:rsidRDefault="000A62E9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 w:rsidRPr="00CD702B">
                          <w:rPr>
                            <w:rFonts w:asciiTheme="minorHAnsi" w:hAnsiTheme="minorHAnsi" w:cstheme="minorHAns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საშუალო შეწონილი</w:t>
                        </w:r>
                        <w:r w:rsidRPr="00CD702B">
                          <w:rPr>
                            <w:rFonts w:asciiTheme="minorHAnsi" w:hAnsiTheme="minorHAnsi" w:cstheme="minorHAns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:rsidR="000A62E9" w:rsidRPr="00CD702B" w:rsidRDefault="000A62E9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 w:rsidRPr="00CD702B">
                          <w:rPr>
                            <w:rFonts w:asciiTheme="minorHAnsi" w:hAnsiTheme="minorHAnsi" w:cstheme="minorHAns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CD702B">
                          <w:rPr>
                            <w:rFonts w:asciiTheme="minorHAnsi" w:hAnsiTheme="minorHAnsi" w:cstheme="minorHAns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 განაკვეთი</w:t>
                        </w:r>
                        <w:r w:rsidRPr="00CD702B">
                          <w:rPr>
                            <w:rFonts w:asciiTheme="minorHAnsi" w:hAnsiTheme="minorHAnsi" w:cstheme="minorHAns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CD702B">
                          <w:rPr>
                            <w:rFonts w:asciiTheme="minorHAnsi" w:hAnsiTheme="minorHAnsi" w:cstheme="minorHAns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3.</w:t>
                        </w:r>
                        <w:r w:rsidRPr="00CD702B">
                          <w:rPr>
                            <w:rFonts w:asciiTheme="minorHAnsi" w:hAnsiTheme="minorHAnsi" w:cstheme="minorHAns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27%</w:t>
                        </w:r>
                      </w:p>
                      <w:p w:rsidR="000A62E9" w:rsidRPr="00CD702B" w:rsidRDefault="000A62E9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highlight w:val="yellow"/>
                            <w:lang w:val="ka-GE"/>
                          </w:rPr>
                        </w:pPr>
                        <w:r w:rsidRPr="00CD702B">
                          <w:rPr>
                            <w:rFonts w:asciiTheme="minorHAnsi" w:hAnsiTheme="minorHAnsi" w:cstheme="minorHAns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CD702B">
                          <w:rPr>
                            <w:rFonts w:asciiTheme="minorHAnsi" w:hAnsiTheme="minorHAnsi" w:cstheme="minorHAns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საკონტრაქტო ვადიანობა</w:t>
                        </w:r>
                        <w:r w:rsidRPr="00CD702B">
                          <w:rPr>
                            <w:rFonts w:asciiTheme="minorHAnsi" w:hAnsiTheme="minorHAnsi" w:cstheme="minorHAns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0A4CEA">
                          <w:rPr>
                            <w:rFonts w:asciiTheme="minorHAnsi" w:hAnsiTheme="minorHAnsi" w:cstheme="minorHAns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21.4</w:t>
                        </w:r>
                        <w:r w:rsidRPr="000A4CEA">
                          <w:rPr>
                            <w:rFonts w:asciiTheme="minorHAnsi" w:hAnsiTheme="minorHAnsi" w:cstheme="minorHAns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  <w:p w:rsidR="000A62E9" w:rsidRPr="00DE4001" w:rsidRDefault="000A62E9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ED1847">
                          <w:rPr>
                            <w:rFonts w:asciiTheme="minorHAnsi" w:hAnsiTheme="minorHAnsi" w:cstheme="minorHAns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- დარჩენილი ვადიანობა</w:t>
                        </w:r>
                        <w:r w:rsidRPr="00ED1847">
                          <w:rPr>
                            <w:rFonts w:asciiTheme="minorHAnsi" w:hAnsiTheme="minorHAnsi" w:cstheme="minorHAns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ED1847">
                          <w:rPr>
                            <w:rFonts w:asciiTheme="minorHAnsi" w:hAnsiTheme="minorHAnsi" w:cstheme="minorHAns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9.6</w:t>
                        </w:r>
                        <w:r w:rsidRPr="00ED1847">
                          <w:rPr>
                            <w:rFonts w:asciiTheme="minorHAnsi" w:hAnsiTheme="minorHAnsi" w:cstheme="minorHAns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  <w10:wrap anchorx="margin"/>
              </v:group>
            </w:pict>
          </mc:Fallback>
        </mc:AlternateContent>
      </w:r>
      <w:r w:rsidRPr="000A62E9">
        <w:rPr>
          <w:rFonts w:ascii="Sylfaen" w:hAnsi="Sylfaen" w:cstheme="minorHAnsi"/>
          <w:noProof/>
        </w:rPr>
        <w:drawing>
          <wp:anchor distT="0" distB="0" distL="114300" distR="114300" simplePos="0" relativeHeight="251663360" behindDoc="0" locked="0" layoutInCell="1" allowOverlap="1" wp14:anchorId="66E1D3A8" wp14:editId="5220EF4C">
            <wp:simplePos x="0" y="0"/>
            <wp:positionH relativeFrom="column">
              <wp:posOffset>485775</wp:posOffset>
            </wp:positionH>
            <wp:positionV relativeFrom="paragraph">
              <wp:posOffset>186690</wp:posOffset>
            </wp:positionV>
            <wp:extent cx="3495675" cy="1838325"/>
            <wp:effectExtent l="0" t="0" r="0" b="0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855" w:rsidRPr="000A62E9">
        <w:rPr>
          <w:rFonts w:ascii="Sylfaen" w:hAnsi="Sylfaen" w:cstheme="minorHAnsi"/>
          <w:b/>
          <w:szCs w:val="18"/>
          <w:shd w:val="clear" w:color="auto" w:fill="FFFFFF"/>
          <w:lang w:val="ka-GE"/>
        </w:rPr>
        <w:t>მთავრობის</w:t>
      </w:r>
      <w:r w:rsidR="006F4202" w:rsidRPr="000A62E9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ვალის სტრუქტურა </w:t>
      </w:r>
      <w:r w:rsidR="008D1F2B" w:rsidRPr="000A62E9">
        <w:rPr>
          <w:rFonts w:ascii="Sylfaen" w:hAnsi="Sylfaen" w:cstheme="minorHAnsi"/>
          <w:b/>
          <w:szCs w:val="18"/>
          <w:shd w:val="clear" w:color="auto" w:fill="FFFFFF"/>
          <w:lang w:val="ka-GE"/>
        </w:rPr>
        <w:t>20</w:t>
      </w:r>
      <w:r w:rsidR="000A7B97" w:rsidRPr="000A62E9">
        <w:rPr>
          <w:rFonts w:ascii="Sylfaen" w:hAnsi="Sylfaen" w:cstheme="minorHAnsi"/>
          <w:b/>
          <w:szCs w:val="18"/>
          <w:shd w:val="clear" w:color="auto" w:fill="FFFFFF"/>
          <w:lang w:val="ka-GE"/>
        </w:rPr>
        <w:t>2</w:t>
      </w:r>
      <w:r w:rsidR="001E4147" w:rsidRPr="000A62E9">
        <w:rPr>
          <w:rFonts w:ascii="Sylfaen" w:hAnsi="Sylfaen" w:cstheme="minorHAnsi"/>
          <w:b/>
          <w:szCs w:val="18"/>
          <w:shd w:val="clear" w:color="auto" w:fill="FFFFFF"/>
          <w:lang w:val="ka-GE"/>
        </w:rPr>
        <w:t>3</w:t>
      </w:r>
      <w:r w:rsidR="008D1F2B" w:rsidRPr="000A62E9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CB36D7" w:rsidRPr="000A62E9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წლის </w:t>
      </w:r>
      <w:r w:rsidR="00EC5195" w:rsidRPr="000A62E9">
        <w:rPr>
          <w:rFonts w:ascii="Sylfaen" w:hAnsi="Sylfaen" w:cstheme="minorHAnsi"/>
          <w:b/>
          <w:szCs w:val="18"/>
          <w:shd w:val="clear" w:color="auto" w:fill="FFFFFF"/>
        </w:rPr>
        <w:t>30</w:t>
      </w:r>
      <w:r w:rsidR="009C4F41" w:rsidRPr="000A62E9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B458C8" w:rsidRPr="000A62E9">
        <w:rPr>
          <w:rFonts w:ascii="Sylfaen" w:hAnsi="Sylfaen" w:cstheme="minorHAnsi"/>
          <w:b/>
          <w:szCs w:val="18"/>
          <w:shd w:val="clear" w:color="auto" w:fill="FFFFFF"/>
          <w:lang w:val="ka-GE"/>
        </w:rPr>
        <w:t>სექტემბრის</w:t>
      </w:r>
      <w:r w:rsidR="009C4F41" w:rsidRPr="000A62E9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6F4202" w:rsidRPr="000A62E9">
        <w:rPr>
          <w:rFonts w:ascii="Sylfaen" w:hAnsi="Sylfaen" w:cstheme="minorHAnsi"/>
          <w:b/>
          <w:szCs w:val="18"/>
          <w:shd w:val="clear" w:color="auto" w:fill="FFFFFF"/>
          <w:lang w:val="ka-GE"/>
        </w:rPr>
        <w:t>მდგომარეობით</w:t>
      </w:r>
    </w:p>
    <w:p w:rsidR="003C2AE8" w:rsidRPr="000A62E9" w:rsidRDefault="00764192" w:rsidP="00B30BCE">
      <w:pPr>
        <w:spacing w:line="240" w:lineRule="auto"/>
        <w:jc w:val="both"/>
        <w:rPr>
          <w:rFonts w:ascii="Sylfaen" w:hAnsi="Sylfaen" w:cstheme="minorHAnsi"/>
          <w:lang w:val="ka-GE"/>
        </w:rPr>
      </w:pPr>
      <w:r w:rsidRPr="000A62E9">
        <w:rPr>
          <w:rFonts w:ascii="Sylfaen" w:hAnsi="Sylfaen" w:cstheme="minorHAnsi"/>
          <w:lang w:val="ka-GE"/>
        </w:rPr>
        <w:t xml:space="preserve"> </w:t>
      </w:r>
    </w:p>
    <w:p w:rsidR="009C4F41" w:rsidRPr="000A62E9" w:rsidRDefault="009C4F41" w:rsidP="00B30BCE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theme="minorHAnsi"/>
          <w:szCs w:val="21"/>
          <w:shd w:val="clear" w:color="auto" w:fill="FFFFFF"/>
          <w:lang w:val="ka-GE"/>
        </w:rPr>
      </w:pP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>20</w:t>
      </w:r>
      <w:r w:rsidRPr="000A62E9">
        <w:rPr>
          <w:rFonts w:ascii="Sylfaen" w:hAnsi="Sylfaen" w:cstheme="minorHAnsi"/>
          <w:szCs w:val="21"/>
          <w:shd w:val="clear" w:color="auto" w:fill="FFFFFF"/>
        </w:rPr>
        <w:t>2</w:t>
      </w:r>
      <w:r w:rsidR="001E4147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3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წლის </w:t>
      </w:r>
      <w:r w:rsidR="00EC5195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30</w:t>
      </w:r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r w:rsidR="00B458C8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სექტემბრის</w:t>
      </w:r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>მდგომარეობით მთავრობის</w:t>
      </w:r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საგარეო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ვალის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პორტფელის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</w:rPr>
        <w:t xml:space="preserve"> 5</w:t>
      </w:r>
      <w:r w:rsidR="00B458C8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1</w:t>
      </w:r>
      <w:r w:rsidRPr="000A62E9">
        <w:rPr>
          <w:rFonts w:ascii="Sylfaen" w:hAnsi="Sylfaen" w:cstheme="minorHAnsi"/>
          <w:szCs w:val="21"/>
          <w:shd w:val="clear" w:color="auto" w:fill="FFFFFF"/>
        </w:rPr>
        <w:t xml:space="preserve">%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შედგება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ფიქსირებული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საპროცენტო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განაკვეთის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მქონე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კრედიტებისგან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</w:rPr>
        <w:t xml:space="preserve">.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ეს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გარემოება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ხელს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უწყობს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საქართველოს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>მთავრობის</w:t>
      </w:r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საგარეო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ვალის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მომსახურების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პარამეტრების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დაცულობას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საპროცენტო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განაკვეთების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ეგზოგენური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რყევებისგან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და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უზრუნველყოფს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ვალის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მომსახურების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ხარჯების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შენარჩუნებას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დაბალ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proofErr w:type="spellStart"/>
      <w:r w:rsidRPr="000A62E9">
        <w:rPr>
          <w:rFonts w:ascii="Sylfaen" w:hAnsi="Sylfaen" w:cstheme="minorHAnsi"/>
          <w:szCs w:val="21"/>
          <w:shd w:val="clear" w:color="auto" w:fill="FFFFFF"/>
        </w:rPr>
        <w:t>დონეზე</w:t>
      </w:r>
      <w:proofErr w:type="spellEnd"/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. </w:t>
      </w:r>
    </w:p>
    <w:p w:rsidR="002F5FB0" w:rsidRPr="000A62E9" w:rsidRDefault="00891606" w:rsidP="00CC5D82">
      <w:pPr>
        <w:tabs>
          <w:tab w:val="left" w:pos="360"/>
        </w:tabs>
        <w:spacing w:line="240" w:lineRule="auto"/>
        <w:ind w:left="360"/>
        <w:rPr>
          <w:rFonts w:ascii="Sylfaen" w:hAnsi="Sylfaen" w:cstheme="minorHAnsi"/>
          <w:b/>
          <w:lang w:val="ka-GE"/>
        </w:rPr>
      </w:pPr>
      <w:r w:rsidRPr="000A62E9">
        <w:rPr>
          <w:rFonts w:ascii="Sylfaen" w:hAnsi="Sylfaen" w:cstheme="minorHAnsi"/>
          <w:noProof/>
        </w:rPr>
        <w:drawing>
          <wp:anchor distT="0" distB="0" distL="114300" distR="114300" simplePos="0" relativeHeight="251666432" behindDoc="1" locked="0" layoutInCell="1" allowOverlap="1" wp14:anchorId="06F036A1" wp14:editId="4341D7AD">
            <wp:simplePos x="0" y="0"/>
            <wp:positionH relativeFrom="column">
              <wp:posOffset>3676650</wp:posOffset>
            </wp:positionH>
            <wp:positionV relativeFrom="paragraph">
              <wp:posOffset>169545</wp:posOffset>
            </wp:positionV>
            <wp:extent cx="2011045" cy="1562100"/>
            <wp:effectExtent l="0" t="0" r="8255" b="0"/>
            <wp:wrapTight wrapText="bothSides">
              <wp:wrapPolygon edited="0">
                <wp:start x="0" y="0"/>
                <wp:lineTo x="0" y="21337"/>
                <wp:lineTo x="21484" y="21337"/>
                <wp:lineTo x="21484" y="0"/>
                <wp:lineTo x="0" y="0"/>
              </wp:wrapPolygon>
            </wp:wrapTight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62E9">
        <w:rPr>
          <w:rFonts w:ascii="Sylfaen" w:hAnsi="Sylfaen" w:cstheme="minorHAnsi"/>
          <w:noProof/>
        </w:rPr>
        <w:drawing>
          <wp:anchor distT="0" distB="0" distL="114300" distR="114300" simplePos="0" relativeHeight="251665408" behindDoc="1" locked="0" layoutInCell="1" allowOverlap="1" wp14:anchorId="51B3A683" wp14:editId="72E88B5B">
            <wp:simplePos x="0" y="0"/>
            <wp:positionH relativeFrom="column">
              <wp:posOffset>981075</wp:posOffset>
            </wp:positionH>
            <wp:positionV relativeFrom="paragraph">
              <wp:posOffset>236220</wp:posOffset>
            </wp:positionV>
            <wp:extent cx="1819275" cy="1504950"/>
            <wp:effectExtent l="0" t="0" r="28575" b="0"/>
            <wp:wrapTight wrapText="bothSides">
              <wp:wrapPolygon edited="0">
                <wp:start x="0" y="0"/>
                <wp:lineTo x="0" y="21327"/>
                <wp:lineTo x="21713" y="21327"/>
                <wp:lineTo x="21713" y="0"/>
                <wp:lineTo x="0" y="0"/>
              </wp:wrapPolygon>
            </wp:wrapTight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C98" w:rsidRPr="000A62E9">
        <w:rPr>
          <w:rFonts w:ascii="Sylfaen" w:hAnsi="Sylfaen" w:cstheme="minorHAnsi"/>
          <w:lang w:val="ka-GE"/>
        </w:rPr>
        <w:t xml:space="preserve">  </w:t>
      </w:r>
      <w:r w:rsidR="002F5FB0" w:rsidRPr="000A62E9">
        <w:rPr>
          <w:rFonts w:ascii="Sylfaen" w:hAnsi="Sylfaen" w:cstheme="minorHAnsi"/>
          <w:b/>
          <w:lang w:val="ka-GE"/>
        </w:rPr>
        <w:br w:type="page"/>
      </w:r>
    </w:p>
    <w:p w:rsidR="00071D1D" w:rsidRDefault="00784855" w:rsidP="00B30BCE">
      <w:pPr>
        <w:tabs>
          <w:tab w:val="left" w:pos="360"/>
        </w:tabs>
        <w:spacing w:after="0" w:line="240" w:lineRule="auto"/>
        <w:jc w:val="center"/>
        <w:rPr>
          <w:rFonts w:ascii="Sylfaen" w:hAnsi="Sylfaen" w:cstheme="minorHAnsi"/>
          <w:b/>
          <w:szCs w:val="18"/>
          <w:shd w:val="clear" w:color="auto" w:fill="FFFFFF"/>
          <w:lang w:val="ka-GE"/>
        </w:rPr>
      </w:pPr>
      <w:r w:rsidRPr="000A62E9">
        <w:rPr>
          <w:rFonts w:ascii="Sylfaen" w:hAnsi="Sylfaen" w:cstheme="minorHAnsi"/>
          <w:b/>
          <w:szCs w:val="18"/>
          <w:shd w:val="clear" w:color="auto" w:fill="FFFFFF"/>
          <w:lang w:val="ka-GE"/>
        </w:rPr>
        <w:lastRenderedPageBreak/>
        <w:t>მთავრობის</w:t>
      </w:r>
      <w:r w:rsidR="00071D1D" w:rsidRPr="000A62E9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საგარეო ვალის სტრუქტურა - </w:t>
      </w:r>
      <w:r w:rsidRPr="000A62E9">
        <w:rPr>
          <w:rFonts w:ascii="Sylfaen" w:hAnsi="Sylfaen" w:cstheme="minorHAnsi"/>
          <w:b/>
          <w:szCs w:val="18"/>
          <w:shd w:val="clear" w:color="auto" w:fill="FFFFFF"/>
          <w:lang w:val="ka-GE"/>
        </w:rPr>
        <w:t>20</w:t>
      </w:r>
      <w:r w:rsidR="00813A2C" w:rsidRPr="000A62E9">
        <w:rPr>
          <w:rFonts w:ascii="Sylfaen" w:hAnsi="Sylfaen" w:cstheme="minorHAnsi"/>
          <w:b/>
          <w:szCs w:val="18"/>
          <w:shd w:val="clear" w:color="auto" w:fill="FFFFFF"/>
          <w:lang w:val="ka-GE"/>
        </w:rPr>
        <w:t>2</w:t>
      </w:r>
      <w:r w:rsidR="001E4147" w:rsidRPr="000A62E9">
        <w:rPr>
          <w:rFonts w:ascii="Sylfaen" w:hAnsi="Sylfaen" w:cstheme="minorHAnsi"/>
          <w:b/>
          <w:szCs w:val="18"/>
          <w:shd w:val="clear" w:color="auto" w:fill="FFFFFF"/>
          <w:lang w:val="ka-GE"/>
        </w:rPr>
        <w:t>3</w:t>
      </w:r>
      <w:r w:rsidR="00E46C45" w:rsidRPr="000A62E9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წლის </w:t>
      </w:r>
      <w:r w:rsidR="003C3F53" w:rsidRPr="000A62E9">
        <w:rPr>
          <w:rFonts w:ascii="Sylfaen" w:hAnsi="Sylfaen" w:cstheme="minorHAnsi"/>
          <w:b/>
          <w:szCs w:val="18"/>
          <w:shd w:val="clear" w:color="auto" w:fill="FFFFFF"/>
          <w:lang w:val="ka-GE"/>
        </w:rPr>
        <w:t>30</w:t>
      </w:r>
      <w:r w:rsidR="001757D3" w:rsidRPr="000A62E9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B458C8" w:rsidRPr="000A62E9">
        <w:rPr>
          <w:rFonts w:ascii="Sylfaen" w:hAnsi="Sylfaen" w:cstheme="minorHAnsi"/>
          <w:b/>
          <w:szCs w:val="18"/>
          <w:shd w:val="clear" w:color="auto" w:fill="FFFFFF"/>
          <w:lang w:val="ka-GE"/>
        </w:rPr>
        <w:t>სექტემბრის</w:t>
      </w:r>
      <w:r w:rsidR="00EF6AB2" w:rsidRPr="000A62E9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071D1D" w:rsidRPr="000A62E9">
        <w:rPr>
          <w:rFonts w:ascii="Sylfaen" w:hAnsi="Sylfaen" w:cstheme="minorHAnsi"/>
          <w:b/>
          <w:szCs w:val="18"/>
          <w:shd w:val="clear" w:color="auto" w:fill="FFFFFF"/>
          <w:lang w:val="ka-GE"/>
        </w:rPr>
        <w:t>მდგომარეობით</w:t>
      </w:r>
    </w:p>
    <w:p w:rsidR="000A62E9" w:rsidRPr="000A62E9" w:rsidRDefault="000A62E9" w:rsidP="00B30BCE">
      <w:pPr>
        <w:tabs>
          <w:tab w:val="left" w:pos="360"/>
        </w:tabs>
        <w:spacing w:after="0" w:line="240" w:lineRule="auto"/>
        <w:jc w:val="center"/>
        <w:rPr>
          <w:rFonts w:ascii="Sylfaen" w:hAnsi="Sylfaen" w:cstheme="minorHAnsi"/>
          <w:b/>
          <w:szCs w:val="18"/>
          <w:shd w:val="clear" w:color="auto" w:fill="FFFFFF"/>
          <w:lang w:val="ka-G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55"/>
        <w:gridCol w:w="899"/>
        <w:gridCol w:w="1816"/>
        <w:gridCol w:w="1816"/>
        <w:gridCol w:w="1785"/>
        <w:gridCol w:w="1262"/>
      </w:tblGrid>
      <w:tr w:rsidR="00D16AE0" w:rsidRPr="000A62E9" w:rsidTr="00D210E6">
        <w:trPr>
          <w:trHeight w:val="495"/>
          <w:tblHeader/>
        </w:trPr>
        <w:tc>
          <w:tcPr>
            <w:tcW w:w="189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კრედიტორი</w:t>
            </w:r>
            <w:proofErr w:type="spellEnd"/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ვალუტა</w:t>
            </w:r>
            <w:proofErr w:type="spellEnd"/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აშშ</w:t>
            </w:r>
            <w:proofErr w:type="spellEnd"/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დოლარი</w:t>
            </w:r>
            <w:proofErr w:type="spellEnd"/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ლარი</w:t>
            </w:r>
            <w:proofErr w:type="spellEnd"/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საპროცენტო</w:t>
            </w:r>
            <w:proofErr w:type="spellEnd"/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განაკვეთის</w:t>
            </w:r>
            <w:proofErr w:type="spellEnd"/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ტიპი</w:t>
            </w:r>
            <w:proofErr w:type="spellEnd"/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EAAAA"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საპროცენტო</w:t>
            </w:r>
            <w:proofErr w:type="spellEnd"/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განაკვეთი</w:t>
            </w:r>
            <w:proofErr w:type="spellEnd"/>
          </w:p>
        </w:tc>
      </w:tr>
      <w:tr w:rsidR="00D16AE0" w:rsidRPr="000A62E9" w:rsidTr="00D16AE0">
        <w:trPr>
          <w:trHeight w:val="390"/>
        </w:trPr>
        <w:tc>
          <w:tcPr>
            <w:tcW w:w="1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0EF"/>
            <w:vAlign w:val="center"/>
            <w:hideMark/>
          </w:tcPr>
          <w:p w:rsidR="00D16AE0" w:rsidRPr="000A62E9" w:rsidRDefault="00FE56B4" w:rsidP="00D16AE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მთავრობის</w:t>
            </w:r>
            <w:r w:rsidR="00D16AE0"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16AE0"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</w:t>
            </w:r>
            <w:proofErr w:type="spellEnd"/>
            <w:r w:rsidR="00D16AE0"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16AE0"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ვალი</w:t>
            </w:r>
            <w:proofErr w:type="spellEnd"/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0EF"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0EF"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8,042,501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0EF"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21,540,230 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0EF"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0EF"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16AE0" w:rsidRPr="000A62E9" w:rsidTr="00D16AE0">
        <w:trPr>
          <w:trHeight w:val="390"/>
        </w:trPr>
        <w:tc>
          <w:tcPr>
            <w:tcW w:w="18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მრავალმხრივი</w:t>
            </w:r>
            <w:proofErr w:type="spellEnd"/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კრედიტორები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5,992,465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16,049,618 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16AE0" w:rsidRPr="000A62E9" w:rsidTr="00D16AE0">
        <w:trPr>
          <w:trHeight w:val="255"/>
        </w:trPr>
        <w:tc>
          <w:tcPr>
            <w:tcW w:w="189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ასოციაცია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(WB - IDA)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SDR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605,492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1,621,689 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1.17%</w:t>
            </w:r>
          </w:p>
        </w:tc>
      </w:tr>
      <w:tr w:rsidR="00D16AE0" w:rsidRPr="000A62E9" w:rsidTr="00D16AE0">
        <w:trPr>
          <w:trHeight w:val="240"/>
        </w:trPr>
        <w:tc>
          <w:tcPr>
            <w:tcW w:w="189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რეკონსტრუქციის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ბანკი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(WB - IBRD)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135,300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362,373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2.21%</w:t>
            </w:r>
          </w:p>
        </w:tc>
      </w:tr>
      <w:tr w:rsidR="00D16AE0" w:rsidRPr="000A62E9" w:rsidTr="00D16AE0">
        <w:trPr>
          <w:trHeight w:val="240"/>
        </w:trPr>
        <w:tc>
          <w:tcPr>
            <w:tcW w:w="189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403,166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1,079,801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Euribor + VS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4.55%</w:t>
            </w:r>
          </w:p>
        </w:tc>
      </w:tr>
      <w:tr w:rsidR="00D16AE0" w:rsidRPr="000A62E9" w:rsidTr="00D16AE0">
        <w:trPr>
          <w:trHeight w:val="240"/>
        </w:trPr>
        <w:tc>
          <w:tcPr>
            <w:tcW w:w="189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909,899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2,436,983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Ref.Rate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6.22%</w:t>
            </w:r>
          </w:p>
        </w:tc>
      </w:tr>
      <w:tr w:rsidR="00D16AE0" w:rsidRPr="000A62E9" w:rsidTr="00D16AE0">
        <w:trPr>
          <w:trHeight w:val="270"/>
        </w:trPr>
        <w:tc>
          <w:tcPr>
            <w:tcW w:w="1896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სოფლის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მეურნეობის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ფონდი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(IFAD)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SDR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23,226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62,206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1.22%</w:t>
            </w:r>
          </w:p>
        </w:tc>
      </w:tr>
      <w:tr w:rsidR="00D16AE0" w:rsidRPr="000A62E9" w:rsidTr="00D16AE0">
        <w:trPr>
          <w:trHeight w:val="270"/>
        </w:trPr>
        <w:tc>
          <w:tcPr>
            <w:tcW w:w="189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SDR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2,472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6,620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(</w:t>
            </w: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Ref.Rate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+ IBRD VS)/2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2.59%</w:t>
            </w:r>
          </w:p>
        </w:tc>
      </w:tr>
      <w:tr w:rsidR="00D16AE0" w:rsidRPr="000A62E9" w:rsidTr="00D16AE0">
        <w:trPr>
          <w:trHeight w:val="270"/>
        </w:trPr>
        <w:tc>
          <w:tcPr>
            <w:tcW w:w="189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11,421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30,590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4.31%</w:t>
            </w:r>
          </w:p>
        </w:tc>
      </w:tr>
      <w:tr w:rsidR="00D16AE0" w:rsidRPr="000A62E9" w:rsidTr="00D16AE0">
        <w:trPr>
          <w:trHeight w:val="270"/>
        </w:trPr>
        <w:tc>
          <w:tcPr>
            <w:tcW w:w="18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სავალუტო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ფონდი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(IMF EFF,MOF)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SDR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193,302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517,719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SDR Rate of Charge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5.13%</w:t>
            </w:r>
          </w:p>
        </w:tc>
      </w:tr>
      <w:tr w:rsidR="00D16AE0" w:rsidRPr="000A62E9" w:rsidTr="00D16AE0">
        <w:trPr>
          <w:trHeight w:val="270"/>
        </w:trPr>
        <w:tc>
          <w:tcPr>
            <w:tcW w:w="18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ევროგაერთიანება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(EU)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141,139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378,013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0.38%</w:t>
            </w:r>
          </w:p>
        </w:tc>
      </w:tr>
      <w:tr w:rsidR="00D16AE0" w:rsidRPr="000A62E9" w:rsidTr="00D16AE0">
        <w:trPr>
          <w:trHeight w:val="345"/>
        </w:trPr>
        <w:tc>
          <w:tcPr>
            <w:tcW w:w="18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ევროპის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რეკონსტრუქციის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და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ბანკი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(EBRD)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225,285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603,381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Euribor + 1%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4.89%</w:t>
            </w:r>
          </w:p>
        </w:tc>
      </w:tr>
      <w:tr w:rsidR="00D16AE0" w:rsidRPr="000A62E9" w:rsidTr="00D16AE0">
        <w:trPr>
          <w:trHeight w:val="270"/>
        </w:trPr>
        <w:tc>
          <w:tcPr>
            <w:tcW w:w="1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აზიის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ბანკი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(ADB)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SDR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431,696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1,156,211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1.63%</w:t>
            </w:r>
          </w:p>
        </w:tc>
      </w:tr>
      <w:tr w:rsidR="00D16AE0" w:rsidRPr="000A62E9" w:rsidTr="00D16AE0">
        <w:trPr>
          <w:trHeight w:val="270"/>
        </w:trPr>
        <w:tc>
          <w:tcPr>
            <w:tcW w:w="189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498,866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1,336,113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1.04%</w:t>
            </w:r>
          </w:p>
        </w:tc>
      </w:tr>
      <w:tr w:rsidR="00D16AE0" w:rsidRPr="000A62E9" w:rsidTr="00D16AE0">
        <w:trPr>
          <w:trHeight w:val="270"/>
        </w:trPr>
        <w:tc>
          <w:tcPr>
            <w:tcW w:w="189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808,641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2,165,783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Euribor + FS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4.47%</w:t>
            </w:r>
          </w:p>
        </w:tc>
      </w:tr>
      <w:tr w:rsidR="00D16AE0" w:rsidRPr="000A62E9" w:rsidTr="00D16AE0">
        <w:trPr>
          <w:trHeight w:val="270"/>
        </w:trPr>
        <w:tc>
          <w:tcPr>
            <w:tcW w:w="189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405,892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1,087,100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Ref.Rate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+ FS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6.11%</w:t>
            </w:r>
          </w:p>
        </w:tc>
      </w:tr>
      <w:tr w:rsidR="00D16AE0" w:rsidRPr="000A62E9" w:rsidTr="00D16AE0">
        <w:trPr>
          <w:trHeight w:val="225"/>
        </w:trPr>
        <w:tc>
          <w:tcPr>
            <w:tcW w:w="1896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აზიის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ინფრასტრუქტურის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ბანკი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(AIIB)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64,010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171,439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Ref.Rate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+ VS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6.45%</w:t>
            </w:r>
          </w:p>
        </w:tc>
      </w:tr>
      <w:tr w:rsidR="00D16AE0" w:rsidRPr="000A62E9" w:rsidTr="00D16AE0">
        <w:trPr>
          <w:trHeight w:val="225"/>
        </w:trPr>
        <w:tc>
          <w:tcPr>
            <w:tcW w:w="189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142,856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382,611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Euribor + VS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4.50%</w:t>
            </w:r>
          </w:p>
        </w:tc>
      </w:tr>
      <w:tr w:rsidR="00D16AE0" w:rsidRPr="000A62E9" w:rsidTr="00D16AE0">
        <w:trPr>
          <w:trHeight w:val="240"/>
        </w:trPr>
        <w:tc>
          <w:tcPr>
            <w:tcW w:w="1896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ევროსაბჭოს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ბანკი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(CEB)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11,451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30,669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2.17%</w:t>
            </w:r>
          </w:p>
        </w:tc>
      </w:tr>
      <w:tr w:rsidR="00D16AE0" w:rsidRPr="000A62E9" w:rsidTr="00D16AE0">
        <w:trPr>
          <w:trHeight w:val="240"/>
        </w:trPr>
        <w:tc>
          <w:tcPr>
            <w:tcW w:w="189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957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2,562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Euribor + VS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4.08%</w:t>
            </w:r>
          </w:p>
        </w:tc>
      </w:tr>
      <w:tr w:rsidR="00D16AE0" w:rsidRPr="000A62E9" w:rsidTr="00D16AE0">
        <w:trPr>
          <w:trHeight w:val="240"/>
        </w:trPr>
        <w:tc>
          <w:tcPr>
            <w:tcW w:w="1896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ევროპის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საინვესტიციო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ბანკი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(EIB)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557,578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1,493,361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1.61%</w:t>
            </w:r>
          </w:p>
        </w:tc>
      </w:tr>
      <w:tr w:rsidR="00D16AE0" w:rsidRPr="000A62E9" w:rsidTr="00D16AE0">
        <w:trPr>
          <w:trHeight w:val="240"/>
        </w:trPr>
        <w:tc>
          <w:tcPr>
            <w:tcW w:w="1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417,994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1,119,512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Euribor + FS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4.19%</w:t>
            </w:r>
          </w:p>
        </w:tc>
      </w:tr>
      <w:tr w:rsidR="00D16AE0" w:rsidRPr="000A62E9" w:rsidTr="00D16AE0">
        <w:trPr>
          <w:trHeight w:val="390"/>
        </w:trPr>
        <w:tc>
          <w:tcPr>
            <w:tcW w:w="18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სკანდინავიური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გარემოსდაცვის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საფინანსო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კორპორაცია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(NEFCO)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1,823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4,882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Euribor + VS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5.93%</w:t>
            </w:r>
          </w:p>
        </w:tc>
      </w:tr>
      <w:tr w:rsidR="00D16AE0" w:rsidRPr="000A62E9" w:rsidTr="00D16AE0">
        <w:trPr>
          <w:trHeight w:val="330"/>
        </w:trPr>
        <w:tc>
          <w:tcPr>
            <w:tcW w:w="18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ორმხრივი</w:t>
            </w:r>
            <w:proofErr w:type="spellEnd"/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კრედიტორები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1,550,036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4,151,462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16AE0" w:rsidRPr="000A62E9" w:rsidTr="00D16AE0">
        <w:trPr>
          <w:trHeight w:val="285"/>
        </w:trPr>
        <w:tc>
          <w:tcPr>
            <w:tcW w:w="189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ავსტრია</w:t>
            </w:r>
            <w:proofErr w:type="spellEnd"/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13,247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35,480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1.00%</w:t>
            </w:r>
          </w:p>
        </w:tc>
      </w:tr>
      <w:tr w:rsidR="00D16AE0" w:rsidRPr="000A62E9" w:rsidTr="00D16AE0">
        <w:trPr>
          <w:trHeight w:val="285"/>
        </w:trPr>
        <w:tc>
          <w:tcPr>
            <w:tcW w:w="18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აზერბაიჯანი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2,230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5,972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3.00%</w:t>
            </w:r>
          </w:p>
        </w:tc>
      </w:tr>
      <w:tr w:rsidR="00D16AE0" w:rsidRPr="000A62E9" w:rsidTr="00D16AE0">
        <w:trPr>
          <w:trHeight w:val="285"/>
        </w:trPr>
        <w:tc>
          <w:tcPr>
            <w:tcW w:w="18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თურქმენეთი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211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565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4.00%</w:t>
            </w:r>
          </w:p>
        </w:tc>
      </w:tr>
      <w:tr w:rsidR="00D16AE0" w:rsidRPr="000A62E9" w:rsidTr="00D16AE0">
        <w:trPr>
          <w:trHeight w:val="285"/>
        </w:trPr>
        <w:tc>
          <w:tcPr>
            <w:tcW w:w="18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თურქეთი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4,342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11,629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3.25%</w:t>
            </w:r>
          </w:p>
        </w:tc>
      </w:tr>
      <w:tr w:rsidR="00D16AE0" w:rsidRPr="000A62E9" w:rsidTr="00D16AE0">
        <w:trPr>
          <w:trHeight w:val="285"/>
        </w:trPr>
        <w:tc>
          <w:tcPr>
            <w:tcW w:w="189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ირანი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1,626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4,356 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3.00%</w:t>
            </w:r>
          </w:p>
        </w:tc>
      </w:tr>
      <w:tr w:rsidR="00D16AE0" w:rsidRPr="000A62E9" w:rsidTr="00D16AE0">
        <w:trPr>
          <w:trHeight w:val="285"/>
        </w:trPr>
        <w:tc>
          <w:tcPr>
            <w:tcW w:w="18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რუსეთი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15,241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40,821 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4.00%</w:t>
            </w:r>
          </w:p>
        </w:tc>
      </w:tr>
      <w:tr w:rsidR="00D16AE0" w:rsidRPr="000A62E9" w:rsidTr="00D16AE0">
        <w:trPr>
          <w:trHeight w:val="285"/>
        </w:trPr>
        <w:tc>
          <w:tcPr>
            <w:tcW w:w="189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სომხეთი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1,967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5,268 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3.00%</w:t>
            </w:r>
          </w:p>
        </w:tc>
      </w:tr>
      <w:tr w:rsidR="00D16AE0" w:rsidRPr="000A62E9" w:rsidTr="00D16AE0">
        <w:trPr>
          <w:trHeight w:val="285"/>
        </w:trPr>
        <w:tc>
          <w:tcPr>
            <w:tcW w:w="18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ყაზახეთი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2,425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6,496 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4.00%</w:t>
            </w:r>
          </w:p>
        </w:tc>
      </w:tr>
      <w:tr w:rsidR="00D16AE0" w:rsidRPr="000A62E9" w:rsidTr="00D16AE0">
        <w:trPr>
          <w:trHeight w:val="285"/>
        </w:trPr>
        <w:tc>
          <w:tcPr>
            <w:tcW w:w="1896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გერმანია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KfW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476,239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1,275,511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1.13%</w:t>
            </w:r>
          </w:p>
        </w:tc>
      </w:tr>
      <w:tr w:rsidR="00D16AE0" w:rsidRPr="000A62E9" w:rsidTr="00D16AE0">
        <w:trPr>
          <w:trHeight w:val="285"/>
        </w:trPr>
        <w:tc>
          <w:tcPr>
            <w:tcW w:w="189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138,439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370,780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Euribor + FS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4.42%</w:t>
            </w:r>
          </w:p>
        </w:tc>
      </w:tr>
      <w:tr w:rsidR="00D16AE0" w:rsidRPr="000A62E9" w:rsidTr="00D16AE0">
        <w:trPr>
          <w:trHeight w:val="285"/>
        </w:trPr>
        <w:tc>
          <w:tcPr>
            <w:tcW w:w="189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იაპონია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JPY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133,744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358,207 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0.76%</w:t>
            </w:r>
          </w:p>
        </w:tc>
      </w:tr>
      <w:tr w:rsidR="00D16AE0" w:rsidRPr="000A62E9" w:rsidTr="00D16AE0">
        <w:trPr>
          <w:trHeight w:val="285"/>
        </w:trPr>
        <w:tc>
          <w:tcPr>
            <w:tcW w:w="18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ქუვეითი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KWD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11,904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31,883 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2.68%</w:t>
            </w:r>
          </w:p>
        </w:tc>
      </w:tr>
      <w:tr w:rsidR="00D16AE0" w:rsidRPr="000A62E9" w:rsidTr="00D16AE0">
        <w:trPr>
          <w:trHeight w:val="285"/>
        </w:trPr>
        <w:tc>
          <w:tcPr>
            <w:tcW w:w="18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ნიდერლანდების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სამეფო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  49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       130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4.20%</w:t>
            </w:r>
          </w:p>
        </w:tc>
      </w:tr>
      <w:tr w:rsidR="00D16AE0" w:rsidRPr="000A62E9" w:rsidTr="00D16AE0">
        <w:trPr>
          <w:trHeight w:val="285"/>
        </w:trPr>
        <w:tc>
          <w:tcPr>
            <w:tcW w:w="18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sz w:val="16"/>
                <w:szCs w:val="16"/>
              </w:rPr>
              <w:t>ამერიკის</w:t>
            </w:r>
            <w:proofErr w:type="spellEnd"/>
            <w:r w:rsidRPr="000A62E9">
              <w:rPr>
                <w:rFonts w:ascii="Sylfaen" w:eastAsia="Times New Roman" w:hAnsi="Sylfaen" w:cs="Calibri"/>
                <w:sz w:val="16"/>
                <w:szCs w:val="16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Calibri"/>
                <w:sz w:val="16"/>
                <w:szCs w:val="16"/>
              </w:rPr>
              <w:t>შეერთებული</w:t>
            </w:r>
            <w:proofErr w:type="spellEnd"/>
            <w:r w:rsidRPr="000A62E9">
              <w:rPr>
                <w:rFonts w:ascii="Sylfaen" w:eastAsia="Times New Roman" w:hAnsi="Sylfaen" w:cs="Calibri"/>
                <w:sz w:val="16"/>
                <w:szCs w:val="16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Calibri"/>
                <w:sz w:val="16"/>
                <w:szCs w:val="16"/>
              </w:rPr>
              <w:t>შტატები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10,097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   27,042 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2.23%</w:t>
            </w:r>
          </w:p>
        </w:tc>
      </w:tr>
      <w:tr w:rsidR="00D16AE0" w:rsidRPr="000A62E9" w:rsidTr="00D16AE0">
        <w:trPr>
          <w:trHeight w:val="285"/>
        </w:trPr>
        <w:tc>
          <w:tcPr>
            <w:tcW w:w="1896" w:type="pct"/>
            <w:vMerge w:val="restart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საფრანგეთი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485,080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1,299,190 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1.08%</w:t>
            </w:r>
          </w:p>
        </w:tc>
      </w:tr>
      <w:tr w:rsidR="00D16AE0" w:rsidRPr="000A62E9" w:rsidTr="00D16AE0">
        <w:trPr>
          <w:trHeight w:val="285"/>
        </w:trPr>
        <w:tc>
          <w:tcPr>
            <w:tcW w:w="1896" w:type="pct"/>
            <w:vMerge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253,195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  678,132 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Euribor + FS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4.69%</w:t>
            </w:r>
          </w:p>
        </w:tc>
      </w:tr>
      <w:tr w:rsidR="00D16AE0" w:rsidRPr="000A62E9" w:rsidTr="00D16AE0">
        <w:trPr>
          <w:trHeight w:val="345"/>
        </w:trPr>
        <w:tc>
          <w:tcPr>
            <w:tcW w:w="18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0CECE"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ფასიანი</w:t>
            </w:r>
            <w:proofErr w:type="spellEnd"/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ქაღალდები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  500,000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          1,339,150 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16AE0" w:rsidRPr="000A62E9" w:rsidTr="00D16AE0">
        <w:trPr>
          <w:trHeight w:val="315"/>
        </w:trPr>
        <w:tc>
          <w:tcPr>
            <w:tcW w:w="1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ევრობონდი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USD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  500,000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1,339,150 </w:t>
            </w:r>
          </w:p>
        </w:tc>
        <w:tc>
          <w:tcPr>
            <w:tcW w:w="8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Fixed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2.75%</w:t>
            </w:r>
          </w:p>
        </w:tc>
      </w:tr>
      <w:tr w:rsidR="00D16AE0" w:rsidRPr="000A62E9" w:rsidTr="00D16AE0">
        <w:trPr>
          <w:trHeight w:val="390"/>
        </w:trPr>
        <w:tc>
          <w:tcPr>
            <w:tcW w:w="44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0EF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საშუალო</w:t>
            </w:r>
            <w:proofErr w:type="spellEnd"/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შეწონილი</w:t>
            </w:r>
            <w:proofErr w:type="spellEnd"/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საპროცენტო</w:t>
            </w:r>
            <w:proofErr w:type="spellEnd"/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განაკვეთი</w:t>
            </w:r>
            <w:proofErr w:type="spellEnd"/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0EF"/>
            <w:noWrap/>
            <w:vAlign w:val="center"/>
            <w:hideMark/>
          </w:tcPr>
          <w:p w:rsidR="00D16AE0" w:rsidRPr="000A62E9" w:rsidRDefault="00D16AE0" w:rsidP="00D16AE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3.27%</w:t>
            </w:r>
          </w:p>
        </w:tc>
      </w:tr>
    </w:tbl>
    <w:p w:rsidR="003C1551" w:rsidRPr="000A62E9" w:rsidRDefault="003C1551" w:rsidP="00B30BCE">
      <w:pPr>
        <w:tabs>
          <w:tab w:val="left" w:pos="360"/>
        </w:tabs>
        <w:spacing w:after="0" w:line="240" w:lineRule="auto"/>
        <w:jc w:val="center"/>
        <w:rPr>
          <w:rFonts w:ascii="Sylfaen" w:hAnsi="Sylfaen" w:cstheme="minorHAnsi"/>
          <w:lang w:val="ka-GE"/>
        </w:rPr>
      </w:pPr>
    </w:p>
    <w:p w:rsidR="00797BDC" w:rsidRDefault="00BE093C" w:rsidP="008664C6">
      <w:pPr>
        <w:tabs>
          <w:tab w:val="left" w:pos="9072"/>
        </w:tabs>
        <w:spacing w:line="240" w:lineRule="auto"/>
        <w:ind w:firstLine="720"/>
        <w:jc w:val="both"/>
        <w:rPr>
          <w:rFonts w:ascii="Sylfaen" w:eastAsia="Times New Roman" w:hAnsi="Sylfaen" w:cstheme="minorHAnsi"/>
          <w:bCs/>
          <w:iCs/>
          <w:color w:val="000000"/>
          <w:lang w:val="ka-GE"/>
        </w:rPr>
      </w:pP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lastRenderedPageBreak/>
        <w:t xml:space="preserve">მთავრობის </w:t>
      </w:r>
      <w:r w:rsidR="00B830F8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საგარეო</w:t>
      </w:r>
      <w:r w:rsidR="00FB01F8"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B830F8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ვალდებულებების</w:t>
      </w:r>
      <w:r w:rsidR="00B830F8"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r w:rsidR="00B830F8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მომსახურებისა</w:t>
      </w:r>
      <w:r w:rsidR="00B830F8"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r w:rsidR="00B830F8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და</w:t>
      </w:r>
      <w:r w:rsidR="00B830F8"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r w:rsidR="00B830F8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დაფარვისათვის</w:t>
      </w:r>
      <w:r w:rsidR="00B830F8"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r w:rsidR="000F5720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20</w:t>
      </w:r>
      <w:r w:rsidR="00760891" w:rsidRPr="000A62E9">
        <w:rPr>
          <w:rFonts w:ascii="Sylfaen" w:hAnsi="Sylfaen" w:cstheme="minorHAnsi"/>
          <w:szCs w:val="21"/>
          <w:shd w:val="clear" w:color="auto" w:fill="FFFFFF"/>
        </w:rPr>
        <w:t>2</w:t>
      </w:r>
      <w:r w:rsidR="001E4147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3</w:t>
      </w:r>
      <w:r w:rsidR="000F5720"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r w:rsidR="00760891"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წლის </w:t>
      </w:r>
      <w:r w:rsidR="00D16AE0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3</w:t>
      </w:r>
      <w:r w:rsidR="009864B7"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r w:rsidR="009864B7"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კვარტლის </w:t>
      </w:r>
      <w:r w:rsidR="00784855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განმავლობაში</w:t>
      </w:r>
      <w:r w:rsidR="00B830F8"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864B7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საქართველოს</w:t>
      </w:r>
      <w:r w:rsidR="009864B7"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r w:rsidR="00B830F8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სახელმწიფო</w:t>
      </w:r>
      <w:r w:rsidR="00B830F8"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r w:rsidR="00B830F8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ბიუჯეტიდან</w:t>
      </w:r>
      <w:r w:rsidR="00B830F8" w:rsidRPr="000A62E9">
        <w:rPr>
          <w:rFonts w:ascii="Sylfaen" w:hAnsi="Sylfaen" w:cstheme="minorHAnsi"/>
          <w:szCs w:val="21"/>
          <w:shd w:val="clear" w:color="auto" w:fill="FFFFFF"/>
        </w:rPr>
        <w:t xml:space="preserve"> </w:t>
      </w:r>
      <w:r w:rsidR="00B830F8" w:rsidRPr="000A62E9">
        <w:rPr>
          <w:rFonts w:ascii="Sylfaen" w:eastAsia="Times New Roman" w:hAnsi="Sylfaen" w:cstheme="minorHAnsi"/>
          <w:bCs/>
          <w:iCs/>
          <w:color w:val="000000"/>
          <w:lang w:val="ka-GE"/>
        </w:rPr>
        <w:t xml:space="preserve">დაიხარჯა </w:t>
      </w:r>
      <w:r w:rsidR="00076D70" w:rsidRPr="000A62E9">
        <w:rPr>
          <w:rFonts w:ascii="Sylfaen" w:eastAsia="Times New Roman" w:hAnsi="Sylfaen" w:cstheme="minorHAnsi"/>
          <w:bCs/>
          <w:iCs/>
          <w:color w:val="000000"/>
          <w:lang w:val="ka-GE"/>
        </w:rPr>
        <w:t xml:space="preserve">1 </w:t>
      </w:r>
      <w:r w:rsidR="0027372A" w:rsidRPr="000A62E9">
        <w:rPr>
          <w:rFonts w:ascii="Sylfaen" w:eastAsia="Times New Roman" w:hAnsi="Sylfaen" w:cstheme="minorHAnsi"/>
          <w:bCs/>
          <w:iCs/>
          <w:color w:val="000000"/>
        </w:rPr>
        <w:t>1</w:t>
      </w:r>
      <w:r w:rsidR="00076D70" w:rsidRPr="000A62E9">
        <w:rPr>
          <w:rFonts w:ascii="Sylfaen" w:eastAsia="Times New Roman" w:hAnsi="Sylfaen" w:cstheme="minorHAnsi"/>
          <w:bCs/>
          <w:iCs/>
          <w:color w:val="000000"/>
          <w:lang w:val="ka-GE"/>
        </w:rPr>
        <w:t>39</w:t>
      </w:r>
      <w:r w:rsidR="009864B7" w:rsidRPr="000A62E9">
        <w:rPr>
          <w:rFonts w:ascii="Sylfaen" w:eastAsia="Times New Roman" w:hAnsi="Sylfaen" w:cstheme="minorHAnsi"/>
          <w:bCs/>
          <w:iCs/>
          <w:color w:val="000000"/>
          <w:lang w:val="ka-GE"/>
        </w:rPr>
        <w:t> </w:t>
      </w:r>
      <w:r w:rsidR="00076D70" w:rsidRPr="000A62E9">
        <w:rPr>
          <w:rFonts w:ascii="Sylfaen" w:eastAsia="Times New Roman" w:hAnsi="Sylfaen" w:cstheme="minorHAnsi"/>
          <w:bCs/>
          <w:iCs/>
          <w:color w:val="000000"/>
          <w:lang w:val="ka-GE"/>
        </w:rPr>
        <w:t>800</w:t>
      </w:r>
      <w:r w:rsidR="009864B7" w:rsidRPr="000A62E9">
        <w:rPr>
          <w:rFonts w:ascii="Sylfaen" w:eastAsia="Times New Roman" w:hAnsi="Sylfaen" w:cstheme="minorHAnsi"/>
          <w:bCs/>
          <w:iCs/>
          <w:color w:val="000000"/>
          <w:lang w:val="ka-GE"/>
        </w:rPr>
        <w:t>.</w:t>
      </w:r>
      <w:r w:rsidR="0027372A" w:rsidRPr="000A62E9">
        <w:rPr>
          <w:rFonts w:ascii="Sylfaen" w:eastAsia="Times New Roman" w:hAnsi="Sylfaen" w:cstheme="minorHAnsi"/>
          <w:bCs/>
          <w:iCs/>
          <w:color w:val="000000"/>
        </w:rPr>
        <w:t>6</w:t>
      </w:r>
      <w:r w:rsidR="00930DB7" w:rsidRPr="000A62E9">
        <w:rPr>
          <w:rFonts w:ascii="Sylfaen" w:eastAsia="Times New Roman" w:hAnsi="Sylfaen" w:cstheme="minorHAnsi"/>
          <w:bCs/>
          <w:iCs/>
          <w:color w:val="000000"/>
          <w:lang w:val="ka-GE"/>
        </w:rPr>
        <w:t xml:space="preserve"> </w:t>
      </w:r>
      <w:r w:rsidR="00B830F8" w:rsidRPr="000A62E9">
        <w:rPr>
          <w:rFonts w:ascii="Sylfaen" w:eastAsia="Times New Roman" w:hAnsi="Sylfaen" w:cstheme="minorHAnsi"/>
          <w:bCs/>
          <w:iCs/>
          <w:color w:val="000000"/>
          <w:lang w:val="ka-GE"/>
        </w:rPr>
        <w:t xml:space="preserve">ათასი ლარი, მათ შორის </w:t>
      </w:r>
      <w:r w:rsidR="00076D70" w:rsidRPr="000A62E9">
        <w:rPr>
          <w:rFonts w:ascii="Sylfaen" w:eastAsia="Times New Roman" w:hAnsi="Sylfaen" w:cstheme="minorHAnsi"/>
          <w:bCs/>
          <w:iCs/>
          <w:color w:val="000000"/>
          <w:lang w:val="ka-GE"/>
        </w:rPr>
        <w:t>777</w:t>
      </w:r>
      <w:r w:rsidR="00711F67" w:rsidRPr="000A62E9">
        <w:rPr>
          <w:rFonts w:ascii="Sylfaen" w:eastAsia="Times New Roman" w:hAnsi="Sylfaen" w:cstheme="minorHAnsi"/>
          <w:bCs/>
          <w:iCs/>
          <w:color w:val="000000"/>
          <w:lang w:val="ka-GE"/>
        </w:rPr>
        <w:t> </w:t>
      </w:r>
      <w:r w:rsidR="00076D70" w:rsidRPr="000A62E9">
        <w:rPr>
          <w:rFonts w:ascii="Sylfaen" w:eastAsia="Times New Roman" w:hAnsi="Sylfaen" w:cstheme="minorHAnsi"/>
          <w:bCs/>
          <w:iCs/>
          <w:color w:val="000000"/>
          <w:lang w:val="ka-GE"/>
        </w:rPr>
        <w:t>443</w:t>
      </w:r>
      <w:r w:rsidR="00711F67" w:rsidRPr="000A62E9">
        <w:rPr>
          <w:rFonts w:ascii="Sylfaen" w:eastAsia="Times New Roman" w:hAnsi="Sylfaen" w:cstheme="minorHAnsi"/>
          <w:bCs/>
          <w:iCs/>
          <w:color w:val="000000"/>
          <w:lang w:val="ka-GE"/>
        </w:rPr>
        <w:t>.</w:t>
      </w:r>
      <w:r w:rsidR="00076D70" w:rsidRPr="000A62E9">
        <w:rPr>
          <w:rFonts w:ascii="Sylfaen" w:eastAsia="Times New Roman" w:hAnsi="Sylfaen" w:cstheme="minorHAnsi"/>
          <w:bCs/>
          <w:iCs/>
          <w:color w:val="000000"/>
          <w:lang w:val="ka-GE"/>
        </w:rPr>
        <w:t>9</w:t>
      </w:r>
      <w:r w:rsidR="00397075" w:rsidRPr="000A62E9">
        <w:rPr>
          <w:rFonts w:ascii="Sylfaen" w:eastAsia="Times New Roman" w:hAnsi="Sylfaen" w:cstheme="minorHAnsi"/>
          <w:bCs/>
          <w:iCs/>
          <w:color w:val="000000"/>
          <w:lang w:val="ka-GE"/>
        </w:rPr>
        <w:t xml:space="preserve"> </w:t>
      </w:r>
      <w:r w:rsidR="00B830F8" w:rsidRPr="000A62E9">
        <w:rPr>
          <w:rFonts w:ascii="Sylfaen" w:eastAsia="Times New Roman" w:hAnsi="Sylfaen" w:cstheme="minorHAnsi"/>
          <w:bCs/>
          <w:iCs/>
          <w:color w:val="000000"/>
          <w:lang w:val="ka-GE"/>
        </w:rPr>
        <w:t xml:space="preserve">ათასი ლარი წარმოადგენს ძირითადი თანხის დაფარვას, ხოლო </w:t>
      </w:r>
      <w:r w:rsidR="00076D70" w:rsidRPr="000A62E9">
        <w:rPr>
          <w:rFonts w:ascii="Sylfaen" w:eastAsia="Times New Roman" w:hAnsi="Sylfaen" w:cstheme="minorHAnsi"/>
          <w:bCs/>
          <w:iCs/>
          <w:color w:val="000000"/>
          <w:lang w:val="ka-GE"/>
        </w:rPr>
        <w:t>362</w:t>
      </w:r>
      <w:r w:rsidR="00711F67" w:rsidRPr="000A62E9">
        <w:rPr>
          <w:rFonts w:ascii="Sylfaen" w:eastAsia="Times New Roman" w:hAnsi="Sylfaen" w:cstheme="minorHAnsi"/>
          <w:bCs/>
          <w:iCs/>
          <w:color w:val="000000"/>
          <w:lang w:val="ka-GE"/>
        </w:rPr>
        <w:t> </w:t>
      </w:r>
      <w:r w:rsidR="00076D70" w:rsidRPr="000A62E9">
        <w:rPr>
          <w:rFonts w:ascii="Sylfaen" w:eastAsia="Times New Roman" w:hAnsi="Sylfaen" w:cstheme="minorHAnsi"/>
          <w:bCs/>
          <w:iCs/>
          <w:color w:val="000000"/>
          <w:lang w:val="ka-GE"/>
        </w:rPr>
        <w:t>356</w:t>
      </w:r>
      <w:r w:rsidR="00711F67" w:rsidRPr="000A62E9">
        <w:rPr>
          <w:rFonts w:ascii="Sylfaen" w:eastAsia="Times New Roman" w:hAnsi="Sylfaen" w:cstheme="minorHAnsi"/>
          <w:bCs/>
          <w:iCs/>
          <w:color w:val="000000"/>
          <w:lang w:val="ka-GE"/>
        </w:rPr>
        <w:t>.</w:t>
      </w:r>
      <w:r w:rsidR="0027372A" w:rsidRPr="000A62E9">
        <w:rPr>
          <w:rFonts w:ascii="Sylfaen" w:eastAsia="Times New Roman" w:hAnsi="Sylfaen" w:cstheme="minorHAnsi"/>
          <w:bCs/>
          <w:iCs/>
          <w:color w:val="000000"/>
        </w:rPr>
        <w:t>6</w:t>
      </w:r>
      <w:r w:rsidR="00930DB7" w:rsidRPr="000A62E9">
        <w:rPr>
          <w:rFonts w:ascii="Sylfaen" w:eastAsia="Times New Roman" w:hAnsi="Sylfaen" w:cstheme="minorHAnsi"/>
          <w:bCs/>
          <w:iCs/>
          <w:color w:val="000000"/>
          <w:lang w:val="ka-GE"/>
        </w:rPr>
        <w:t xml:space="preserve"> </w:t>
      </w:r>
      <w:r w:rsidR="00B830F8" w:rsidRPr="000A62E9">
        <w:rPr>
          <w:rFonts w:ascii="Sylfaen" w:eastAsia="Times New Roman" w:hAnsi="Sylfaen" w:cstheme="minorHAnsi"/>
          <w:bCs/>
          <w:iCs/>
          <w:color w:val="000000"/>
          <w:lang w:val="ka-GE"/>
        </w:rPr>
        <w:t xml:space="preserve">ათასი ლარი </w:t>
      </w:r>
      <w:r w:rsidR="0087661E" w:rsidRPr="000A62E9">
        <w:rPr>
          <w:rFonts w:ascii="Sylfaen" w:eastAsia="Times New Roman" w:hAnsi="Sylfaen" w:cstheme="minorHAnsi"/>
          <w:bCs/>
          <w:iCs/>
          <w:color w:val="000000"/>
          <w:lang w:val="ka-GE"/>
        </w:rPr>
        <w:t xml:space="preserve">- </w:t>
      </w:r>
      <w:r w:rsidR="00B830F8" w:rsidRPr="000A62E9">
        <w:rPr>
          <w:rFonts w:ascii="Sylfaen" w:eastAsia="Times New Roman" w:hAnsi="Sylfaen" w:cstheme="minorHAnsi"/>
          <w:bCs/>
          <w:iCs/>
          <w:color w:val="000000"/>
          <w:lang w:val="ka-GE"/>
        </w:rPr>
        <w:t>პროცენტის თანხას.</w:t>
      </w:r>
    </w:p>
    <w:p w:rsidR="000A62E9" w:rsidRPr="000A62E9" w:rsidRDefault="000A62E9" w:rsidP="008664C6">
      <w:pPr>
        <w:tabs>
          <w:tab w:val="left" w:pos="9072"/>
        </w:tabs>
        <w:spacing w:line="240" w:lineRule="auto"/>
        <w:ind w:firstLine="720"/>
        <w:jc w:val="both"/>
        <w:rPr>
          <w:rFonts w:ascii="Sylfaen" w:eastAsia="Times New Roman" w:hAnsi="Sylfaen" w:cstheme="minorHAnsi"/>
          <w:bCs/>
          <w:iCs/>
          <w:color w:val="000000"/>
          <w:lang w:val="ka-GE"/>
        </w:rPr>
      </w:pPr>
    </w:p>
    <w:p w:rsidR="004816BC" w:rsidRPr="000A62E9" w:rsidRDefault="00FE7942" w:rsidP="00B30BCE">
      <w:pPr>
        <w:jc w:val="center"/>
        <w:rPr>
          <w:rFonts w:ascii="Sylfaen" w:hAnsi="Sylfaen" w:cstheme="minorHAnsi"/>
          <w:b/>
          <w:lang w:val="ka-GE"/>
        </w:rPr>
      </w:pPr>
      <w:r w:rsidRPr="000A62E9">
        <w:rPr>
          <w:rFonts w:ascii="Sylfaen" w:hAnsi="Sylfaen" w:cstheme="minorHAnsi"/>
          <w:b/>
          <w:szCs w:val="18"/>
          <w:shd w:val="clear" w:color="auto" w:fill="FFFFFF"/>
          <w:lang w:val="ka-GE"/>
        </w:rPr>
        <w:t>საგარეო ვალდებულებების მომსახურება და დაფარვა</w:t>
      </w:r>
      <w:r w:rsidR="00FB01F8" w:rsidRPr="000A62E9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0F5720" w:rsidRPr="000A62E9">
        <w:rPr>
          <w:rFonts w:ascii="Sylfaen" w:hAnsi="Sylfaen" w:cstheme="minorHAnsi"/>
          <w:b/>
          <w:lang w:val="ka-GE"/>
        </w:rPr>
        <w:t>20</w:t>
      </w:r>
      <w:r w:rsidR="000A407F" w:rsidRPr="000A62E9">
        <w:rPr>
          <w:rFonts w:ascii="Sylfaen" w:hAnsi="Sylfaen" w:cstheme="minorHAnsi"/>
          <w:b/>
          <w:lang w:val="ka-GE"/>
        </w:rPr>
        <w:t>2</w:t>
      </w:r>
      <w:r w:rsidR="009864B7" w:rsidRPr="000A62E9">
        <w:rPr>
          <w:rFonts w:ascii="Sylfaen" w:hAnsi="Sylfaen" w:cstheme="minorHAnsi"/>
          <w:b/>
        </w:rPr>
        <w:t>3</w:t>
      </w:r>
      <w:r w:rsidR="000F5720" w:rsidRPr="000A62E9">
        <w:rPr>
          <w:rFonts w:ascii="Sylfaen" w:hAnsi="Sylfaen" w:cstheme="minorHAnsi"/>
          <w:b/>
          <w:lang w:val="ka-GE"/>
        </w:rPr>
        <w:t xml:space="preserve"> წლის </w:t>
      </w:r>
      <w:r w:rsidR="0027372A" w:rsidRPr="000A62E9">
        <w:rPr>
          <w:rFonts w:ascii="Sylfaen" w:hAnsi="Sylfaen" w:cstheme="minorHAnsi"/>
          <w:b/>
        </w:rPr>
        <w:t>30</w:t>
      </w:r>
      <w:r w:rsidR="008A2103" w:rsidRPr="000A62E9">
        <w:rPr>
          <w:rFonts w:ascii="Sylfaen" w:hAnsi="Sylfaen" w:cstheme="minorHAnsi"/>
          <w:b/>
          <w:lang w:val="ka-GE"/>
        </w:rPr>
        <w:t xml:space="preserve"> </w:t>
      </w:r>
      <w:r w:rsidR="00076D70" w:rsidRPr="000A62E9">
        <w:rPr>
          <w:rFonts w:ascii="Sylfaen" w:hAnsi="Sylfaen" w:cstheme="minorHAnsi"/>
          <w:b/>
          <w:lang w:val="ka-GE"/>
        </w:rPr>
        <w:t>სექტემბრის</w:t>
      </w:r>
      <w:r w:rsidR="008A2103" w:rsidRPr="000A62E9">
        <w:rPr>
          <w:rFonts w:ascii="Sylfaen" w:hAnsi="Sylfaen" w:cstheme="minorHAnsi"/>
          <w:b/>
          <w:lang w:val="ka-GE"/>
        </w:rPr>
        <w:t xml:space="preserve"> </w:t>
      </w:r>
      <w:r w:rsidR="00FD691A" w:rsidRPr="000A62E9">
        <w:rPr>
          <w:rFonts w:ascii="Sylfaen" w:hAnsi="Sylfaen" w:cstheme="minorHAnsi"/>
          <w:b/>
          <w:lang w:val="ka-GE"/>
        </w:rPr>
        <w:t>მდგომარეობით</w:t>
      </w:r>
    </w:p>
    <w:p w:rsidR="00086670" w:rsidRPr="000A62E9" w:rsidRDefault="009C0B59" w:rsidP="00A40CE3">
      <w:pPr>
        <w:tabs>
          <w:tab w:val="left" w:pos="0"/>
        </w:tabs>
        <w:spacing w:after="0" w:line="240" w:lineRule="auto"/>
        <w:ind w:right="555" w:firstLine="720"/>
        <w:jc w:val="right"/>
        <w:rPr>
          <w:rFonts w:ascii="Sylfaen" w:hAnsi="Sylfaen" w:cstheme="minorHAnsi"/>
          <w:b/>
          <w:sz w:val="12"/>
          <w:szCs w:val="12"/>
          <w:lang w:val="ka-GE"/>
        </w:rPr>
      </w:pPr>
      <w:r w:rsidRPr="000A62E9">
        <w:rPr>
          <w:rFonts w:ascii="Sylfaen" w:hAnsi="Sylfaen"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0A62E9">
        <w:rPr>
          <w:rFonts w:ascii="Sylfaen" w:hAnsi="Sylfaen"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0A62E9">
        <w:rPr>
          <w:rFonts w:ascii="Sylfaen" w:hAnsi="Sylfaen"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0A62E9">
        <w:rPr>
          <w:rFonts w:ascii="Sylfaen" w:hAnsi="Sylfaen"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0A62E9">
        <w:rPr>
          <w:rFonts w:ascii="Sylfaen" w:hAnsi="Sylfaen"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0A62E9">
        <w:rPr>
          <w:rFonts w:ascii="Sylfaen" w:hAnsi="Sylfaen"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0A62E9">
        <w:rPr>
          <w:rFonts w:ascii="Sylfaen" w:hAnsi="Sylfaen"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0A62E9">
        <w:rPr>
          <w:rFonts w:ascii="Sylfaen" w:hAnsi="Sylfaen" w:cstheme="minorHAnsi"/>
          <w:b/>
          <w:i/>
          <w:noProof/>
          <w:color w:val="000000"/>
          <w:sz w:val="18"/>
          <w:szCs w:val="18"/>
          <w:lang w:val="ka-GE"/>
        </w:rPr>
        <w:tab/>
      </w:r>
      <w:r w:rsidR="008010E5" w:rsidRPr="000A62E9">
        <w:rPr>
          <w:rFonts w:ascii="Sylfaen" w:hAnsi="Sylfaen" w:cstheme="minorHAnsi"/>
          <w:b/>
          <w:i/>
          <w:noProof/>
          <w:color w:val="000000"/>
          <w:sz w:val="18"/>
          <w:szCs w:val="18"/>
          <w:lang w:val="ka-GE"/>
        </w:rPr>
        <w:t xml:space="preserve">  </w:t>
      </w:r>
      <w:r w:rsidR="00023C53" w:rsidRPr="000A62E9">
        <w:rPr>
          <w:rFonts w:ascii="Sylfaen" w:hAnsi="Sylfaen" w:cstheme="minorHAnsi"/>
          <w:b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23"/>
        <w:gridCol w:w="2234"/>
        <w:gridCol w:w="2346"/>
        <w:gridCol w:w="2440"/>
      </w:tblGrid>
      <w:tr w:rsidR="00CD702B" w:rsidRPr="000A62E9" w:rsidTr="000A62E9">
        <w:trPr>
          <w:trHeight w:val="300"/>
          <w:tblHeader/>
        </w:trPr>
        <w:tc>
          <w:tcPr>
            <w:tcW w:w="150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კრედიტორები</w:t>
            </w:r>
            <w:proofErr w:type="spellEnd"/>
          </w:p>
        </w:tc>
        <w:tc>
          <w:tcPr>
            <w:tcW w:w="111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ვალების</w:t>
            </w:r>
            <w:proofErr w:type="spellEnd"/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დაფარვა</w:t>
            </w:r>
            <w:proofErr w:type="spellEnd"/>
          </w:p>
        </w:tc>
        <w:tc>
          <w:tcPr>
            <w:tcW w:w="116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1215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</w:tr>
      <w:tr w:rsidR="00CD702B" w:rsidRPr="000A62E9" w:rsidTr="000A62E9">
        <w:trPr>
          <w:trHeight w:val="300"/>
        </w:trPr>
        <w:tc>
          <w:tcPr>
            <w:tcW w:w="15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ავსტრია</w:t>
            </w:r>
            <w:proofErr w:type="spellEnd"/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2,406.7 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     275.5 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  2,682.2 </w:t>
            </w:r>
          </w:p>
        </w:tc>
      </w:tr>
      <w:tr w:rsidR="00CD702B" w:rsidRPr="000A62E9" w:rsidTr="000A62E9">
        <w:trPr>
          <w:trHeight w:val="300"/>
        </w:trPr>
        <w:tc>
          <w:tcPr>
            <w:tcW w:w="15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ქუვეითი</w:t>
            </w:r>
            <w:proofErr w:type="spellEnd"/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3,463.5 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     618.4 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  4,082.0 </w:t>
            </w:r>
          </w:p>
        </w:tc>
      </w:tr>
      <w:tr w:rsidR="00CD702B" w:rsidRPr="000A62E9" w:rsidTr="000A62E9">
        <w:trPr>
          <w:trHeight w:val="300"/>
        </w:trPr>
        <w:tc>
          <w:tcPr>
            <w:tcW w:w="15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იაპონია</w:t>
            </w:r>
            <w:proofErr w:type="spellEnd"/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14,581.6 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  2,191.8 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16,773.4 </w:t>
            </w:r>
          </w:p>
        </w:tc>
      </w:tr>
      <w:tr w:rsidR="00CD702B" w:rsidRPr="000A62E9" w:rsidTr="000A62E9">
        <w:trPr>
          <w:trHeight w:val="300"/>
        </w:trPr>
        <w:tc>
          <w:tcPr>
            <w:tcW w:w="15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გერმანია</w:t>
            </w:r>
            <w:proofErr w:type="spellEnd"/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85,122.7 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15,018.7 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100,141.4 </w:t>
            </w:r>
          </w:p>
        </w:tc>
      </w:tr>
      <w:tr w:rsidR="00CD702B" w:rsidRPr="000A62E9" w:rsidTr="000A62E9">
        <w:trPr>
          <w:trHeight w:val="300"/>
        </w:trPr>
        <w:tc>
          <w:tcPr>
            <w:tcW w:w="15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აშშ</w:t>
            </w:r>
            <w:proofErr w:type="spellEnd"/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2,012.2 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     124.4 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  2,136.6 </w:t>
            </w:r>
          </w:p>
        </w:tc>
      </w:tr>
      <w:tr w:rsidR="00CD702B" w:rsidRPr="000A62E9" w:rsidTr="000A62E9">
        <w:trPr>
          <w:trHeight w:val="300"/>
        </w:trPr>
        <w:tc>
          <w:tcPr>
            <w:tcW w:w="15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სომხეთი</w:t>
            </w:r>
            <w:proofErr w:type="spellEnd"/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2,345.9 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     211.2 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  2,557.1 </w:t>
            </w:r>
          </w:p>
        </w:tc>
      </w:tr>
      <w:tr w:rsidR="00CD702B" w:rsidRPr="000A62E9" w:rsidTr="000A62E9">
        <w:trPr>
          <w:trHeight w:val="300"/>
        </w:trPr>
        <w:tc>
          <w:tcPr>
            <w:tcW w:w="15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აზერბაიჯანი</w:t>
            </w:r>
            <w:proofErr w:type="spellEnd"/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2,659.4 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     236.1 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  2,895.5 </w:t>
            </w:r>
          </w:p>
        </w:tc>
      </w:tr>
      <w:tr w:rsidR="00CD702B" w:rsidRPr="000A62E9" w:rsidTr="000A62E9">
        <w:trPr>
          <w:trHeight w:val="300"/>
        </w:trPr>
        <w:tc>
          <w:tcPr>
            <w:tcW w:w="15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ირანი</w:t>
            </w:r>
            <w:proofErr w:type="spellEnd"/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1,939.8 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     172.3 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  2,112.2 </w:t>
            </w:r>
          </w:p>
        </w:tc>
      </w:tr>
      <w:tr w:rsidR="00CD702B" w:rsidRPr="000A62E9" w:rsidTr="000A62E9">
        <w:trPr>
          <w:trHeight w:val="300"/>
        </w:trPr>
        <w:tc>
          <w:tcPr>
            <w:tcW w:w="15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ყაზახეთი</w:t>
            </w:r>
            <w:proofErr w:type="spellEnd"/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2,892.8 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     347.2 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  3,240.0 </w:t>
            </w:r>
          </w:p>
        </w:tc>
      </w:tr>
      <w:tr w:rsidR="00CD702B" w:rsidRPr="000A62E9" w:rsidTr="000A62E9">
        <w:trPr>
          <w:trHeight w:val="300"/>
        </w:trPr>
        <w:tc>
          <w:tcPr>
            <w:tcW w:w="15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ნიდერლანდების</w:t>
            </w:r>
            <w:proofErr w:type="spellEnd"/>
            <w:r w:rsidRPr="000A62E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სამეფო</w:t>
            </w:r>
            <w:proofErr w:type="spellEnd"/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     58.5 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7.3 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       65.8 </w:t>
            </w:r>
          </w:p>
        </w:tc>
      </w:tr>
      <w:tr w:rsidR="00CD702B" w:rsidRPr="000A62E9" w:rsidTr="000A62E9">
        <w:trPr>
          <w:trHeight w:val="300"/>
        </w:trPr>
        <w:tc>
          <w:tcPr>
            <w:tcW w:w="15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რუსეთი</w:t>
            </w:r>
            <w:proofErr w:type="spellEnd"/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26,859.4 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  3,554.2 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30,413.6 </w:t>
            </w:r>
          </w:p>
        </w:tc>
      </w:tr>
      <w:tr w:rsidR="00CD702B" w:rsidRPr="000A62E9" w:rsidTr="000A62E9">
        <w:trPr>
          <w:trHeight w:val="300"/>
        </w:trPr>
        <w:tc>
          <w:tcPr>
            <w:tcW w:w="15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თურქეთი</w:t>
            </w:r>
            <w:proofErr w:type="spellEnd"/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5,178.4 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     505.0 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  5,683.3 </w:t>
            </w:r>
          </w:p>
        </w:tc>
      </w:tr>
      <w:tr w:rsidR="00CD702B" w:rsidRPr="000A62E9" w:rsidTr="000A62E9">
        <w:trPr>
          <w:trHeight w:val="300"/>
        </w:trPr>
        <w:tc>
          <w:tcPr>
            <w:tcW w:w="15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საფრანგეთი</w:t>
            </w:r>
            <w:proofErr w:type="spellEnd"/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20,452.1 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32,109.2 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52,561.3 </w:t>
            </w:r>
          </w:p>
        </w:tc>
      </w:tr>
      <w:tr w:rsidR="00CD702B" w:rsidRPr="000A62E9" w:rsidTr="000A62E9">
        <w:trPr>
          <w:trHeight w:val="300"/>
        </w:trPr>
        <w:tc>
          <w:tcPr>
            <w:tcW w:w="15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IDA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230,684.2 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16,323.1 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247,007.3 </w:t>
            </w:r>
          </w:p>
        </w:tc>
      </w:tr>
      <w:tr w:rsidR="00CD702B" w:rsidRPr="000A62E9" w:rsidTr="000A62E9">
        <w:trPr>
          <w:trHeight w:val="300"/>
        </w:trPr>
        <w:tc>
          <w:tcPr>
            <w:tcW w:w="15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IBRD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54,053.5 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116,401.6 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170,455.1 </w:t>
            </w:r>
          </w:p>
        </w:tc>
      </w:tr>
      <w:tr w:rsidR="00CD702B" w:rsidRPr="000A62E9" w:rsidTr="000A62E9">
        <w:trPr>
          <w:trHeight w:val="300"/>
        </w:trPr>
        <w:tc>
          <w:tcPr>
            <w:tcW w:w="15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IFAD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6,311.7 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  1,323.5 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  7,635.1 </w:t>
            </w:r>
          </w:p>
        </w:tc>
      </w:tr>
      <w:tr w:rsidR="00CD702B" w:rsidRPr="000A62E9" w:rsidTr="000A62E9">
        <w:trPr>
          <w:trHeight w:val="300"/>
        </w:trPr>
        <w:tc>
          <w:tcPr>
            <w:tcW w:w="15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EBRD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63,136.3 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17,768.0 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80,904.2 </w:t>
            </w:r>
          </w:p>
        </w:tc>
      </w:tr>
      <w:tr w:rsidR="00CD702B" w:rsidRPr="000A62E9" w:rsidTr="000A62E9">
        <w:trPr>
          <w:trHeight w:val="300"/>
        </w:trPr>
        <w:tc>
          <w:tcPr>
            <w:tcW w:w="15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EIB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20,089.0 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36,277.0 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56,365.9 </w:t>
            </w:r>
          </w:p>
        </w:tc>
      </w:tr>
      <w:tr w:rsidR="00CD702B" w:rsidRPr="000A62E9" w:rsidTr="000A62E9">
        <w:trPr>
          <w:trHeight w:val="300"/>
        </w:trPr>
        <w:tc>
          <w:tcPr>
            <w:tcW w:w="15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ADB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232,491.2 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72,451.4 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304,942.6 </w:t>
            </w:r>
          </w:p>
        </w:tc>
      </w:tr>
      <w:tr w:rsidR="00CD702B" w:rsidRPr="000A62E9" w:rsidTr="000A62E9">
        <w:trPr>
          <w:trHeight w:val="300"/>
        </w:trPr>
        <w:tc>
          <w:tcPr>
            <w:tcW w:w="15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IMF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18,056.2 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18,056.2 </w:t>
            </w:r>
          </w:p>
        </w:tc>
      </w:tr>
      <w:tr w:rsidR="00CD702B" w:rsidRPr="000A62E9" w:rsidTr="000A62E9">
        <w:trPr>
          <w:trHeight w:val="300"/>
        </w:trPr>
        <w:tc>
          <w:tcPr>
            <w:tcW w:w="15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EU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  1,419.0 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  1,419.0 </w:t>
            </w:r>
          </w:p>
        </w:tc>
      </w:tr>
      <w:tr w:rsidR="00CD702B" w:rsidRPr="000A62E9" w:rsidTr="000A62E9">
        <w:trPr>
          <w:trHeight w:val="300"/>
        </w:trPr>
        <w:tc>
          <w:tcPr>
            <w:tcW w:w="15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CEB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     453.3 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     453.3 </w:t>
            </w:r>
          </w:p>
        </w:tc>
      </w:tr>
      <w:tr w:rsidR="00CD702B" w:rsidRPr="000A62E9" w:rsidTr="000A62E9">
        <w:trPr>
          <w:trHeight w:val="300"/>
        </w:trPr>
        <w:tc>
          <w:tcPr>
            <w:tcW w:w="15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AIIB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  8,845.0 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  8,845.0 </w:t>
            </w:r>
          </w:p>
        </w:tc>
      </w:tr>
      <w:tr w:rsidR="00CD702B" w:rsidRPr="000A62E9" w:rsidTr="000A62E9">
        <w:trPr>
          <w:trHeight w:val="300"/>
        </w:trPr>
        <w:tc>
          <w:tcPr>
            <w:tcW w:w="15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NEFCO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   705.1 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     344.3 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  1,049.4 </w:t>
            </w:r>
          </w:p>
        </w:tc>
      </w:tr>
      <w:tr w:rsidR="00CD702B" w:rsidRPr="000A62E9" w:rsidTr="000A62E9">
        <w:trPr>
          <w:trHeight w:val="300"/>
        </w:trPr>
        <w:tc>
          <w:tcPr>
            <w:tcW w:w="15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ევრობონდი</w:t>
            </w:r>
            <w:proofErr w:type="spellEnd"/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        -   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17,322.9 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  <w:t xml:space="preserve">                           17,322.9 </w:t>
            </w:r>
          </w:p>
        </w:tc>
      </w:tr>
      <w:tr w:rsidR="00CD702B" w:rsidRPr="000A62E9" w:rsidTr="000A62E9">
        <w:trPr>
          <w:trHeight w:val="435"/>
        </w:trPr>
        <w:tc>
          <w:tcPr>
            <w:tcW w:w="1505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       777,443.9 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         362,356.6 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76D70" w:rsidRPr="000A62E9" w:rsidRDefault="00076D70" w:rsidP="00076D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      1,139,800.6 </w:t>
            </w:r>
          </w:p>
        </w:tc>
      </w:tr>
    </w:tbl>
    <w:p w:rsidR="008A2103" w:rsidRPr="000A62E9" w:rsidRDefault="008A2103" w:rsidP="00B30BCE">
      <w:pPr>
        <w:tabs>
          <w:tab w:val="left" w:pos="720"/>
        </w:tabs>
        <w:spacing w:after="120" w:line="240" w:lineRule="auto"/>
        <w:jc w:val="center"/>
        <w:rPr>
          <w:rFonts w:ascii="Sylfaen" w:hAnsi="Sylfaen" w:cstheme="minorHAnsi"/>
          <w:b/>
          <w:sz w:val="12"/>
          <w:szCs w:val="12"/>
          <w:lang w:val="ka-GE"/>
        </w:rPr>
      </w:pPr>
    </w:p>
    <w:p w:rsidR="00F9128F" w:rsidRPr="000A62E9" w:rsidRDefault="00F9128F" w:rsidP="00076D70">
      <w:pPr>
        <w:spacing w:line="240" w:lineRule="auto"/>
        <w:ind w:firstLine="720"/>
        <w:jc w:val="center"/>
        <w:rPr>
          <w:rFonts w:ascii="Sylfaen" w:hAnsi="Sylfaen" w:cstheme="minorHAnsi"/>
          <w:b/>
          <w:sz w:val="14"/>
          <w:szCs w:val="14"/>
          <w:shd w:val="clear" w:color="auto" w:fill="FFFFFF"/>
          <w:lang w:val="ka-GE"/>
        </w:rPr>
      </w:pPr>
    </w:p>
    <w:p w:rsidR="00076D70" w:rsidRPr="000A62E9" w:rsidRDefault="00076D70" w:rsidP="00076D70">
      <w:pPr>
        <w:spacing w:line="240" w:lineRule="auto"/>
        <w:ind w:firstLine="720"/>
        <w:jc w:val="center"/>
        <w:rPr>
          <w:rFonts w:ascii="Sylfaen" w:hAnsi="Sylfaen" w:cstheme="minorHAnsi"/>
          <w:b/>
          <w:szCs w:val="21"/>
          <w:shd w:val="clear" w:color="auto" w:fill="FFFFFF"/>
          <w:lang w:val="ka-GE"/>
        </w:rPr>
      </w:pPr>
      <w:r w:rsidRPr="000A62E9">
        <w:rPr>
          <w:rFonts w:ascii="Sylfaen" w:hAnsi="Sylfaen" w:cstheme="minorHAnsi"/>
          <w:b/>
          <w:szCs w:val="21"/>
          <w:shd w:val="clear" w:color="auto" w:fill="FFFFFF"/>
          <w:lang w:val="ka-GE"/>
        </w:rPr>
        <w:t>მთავრობის საშინაო ვალი</w:t>
      </w:r>
    </w:p>
    <w:p w:rsidR="00396821" w:rsidRPr="000A62E9" w:rsidRDefault="00396821" w:rsidP="00C777F9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 w:cstheme="minorHAnsi"/>
          <w:szCs w:val="21"/>
          <w:shd w:val="clear" w:color="auto" w:fill="FFFFFF"/>
          <w:lang w:val="ka-GE"/>
        </w:rPr>
      </w:pP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საქართველოს ფინანსთა სამინისტრომ განახორციელა </w:t>
      </w:r>
      <w:r w:rsidR="008010E5"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1 წალმდე ვადიანობის 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სახაზინო ვალდებულებების და </w:t>
      </w:r>
      <w:r w:rsidR="008010E5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1 წელზე მეტი ვადიანობის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სახაზინო ობლიგაციების </w:t>
      </w:r>
      <w:r w:rsidR="00613668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გამოშვება.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202</w:t>
      </w:r>
      <w:r w:rsidR="008010E5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3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წლის </w:t>
      </w:r>
      <w:r w:rsidR="00516C30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30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076D70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სექტემბრის</w:t>
      </w:r>
      <w:r w:rsidR="005043A4"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მდგომარეობით სახაზინო ვალდებულებების და ობლიგაციების ბოლო აუქციონებზე დაფიქსირებულმა საშუალო შეწონილმა საპროცენტო განაკვეთებმა შეადგინა: 6 თვიანზე </w:t>
      </w:r>
      <w:r w:rsidR="00613668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9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>.</w:t>
      </w:r>
      <w:r w:rsidR="00516C30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5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%, 12 თვიანზე </w:t>
      </w:r>
      <w:r w:rsidR="00C81959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9</w:t>
      </w:r>
      <w:r w:rsidR="00E067EB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.</w:t>
      </w:r>
      <w:r w:rsidR="00076D70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9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%, </w:t>
      </w:r>
      <w:r w:rsidR="00126570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5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წლიანზე</w:t>
      </w:r>
      <w:r w:rsidR="00126570"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(ნარჩენი ვადიანობა 3 წელი)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- </w:t>
      </w:r>
      <w:r w:rsidR="00126570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8</w:t>
      </w:r>
      <w:r w:rsidR="00711F67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.</w:t>
      </w:r>
      <w:r w:rsidR="00076D70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3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%, </w:t>
      </w:r>
      <w:r w:rsidR="00126570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10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წლიანზე</w:t>
      </w:r>
      <w:r w:rsidR="0013522D"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(ნარჩენი ვადიანობა </w:t>
      </w:r>
      <w:r w:rsidR="00F9128F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4</w:t>
      </w:r>
      <w:r w:rsidR="0013522D"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წელი) 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- </w:t>
      </w:r>
      <w:r w:rsidR="00613668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8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>.</w:t>
      </w:r>
      <w:r w:rsidR="00076D70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3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>%, 10 წლიანზე</w:t>
      </w:r>
      <w:r w:rsidR="0013522D"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(ნარჩენი ვადიანობა 7 წელი) 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- </w:t>
      </w:r>
      <w:r w:rsidR="00613668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8</w:t>
      </w:r>
      <w:r w:rsidR="00711F67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.</w:t>
      </w:r>
      <w:r w:rsidR="00076D70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1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>%</w:t>
      </w:r>
      <w:r w:rsidR="00076D70"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, 11 წლიანზე (ნარჩენი ვადიანობა </w:t>
      </w:r>
      <w:r w:rsidR="00F9128F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11</w:t>
      </w:r>
      <w:r w:rsidR="00076D70"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წელი)  - 8.1%</w:t>
      </w:r>
    </w:p>
    <w:p w:rsidR="00F9128F" w:rsidRPr="000A62E9" w:rsidRDefault="00F9128F" w:rsidP="00C777F9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 w:cstheme="minorHAnsi"/>
          <w:szCs w:val="21"/>
          <w:shd w:val="clear" w:color="auto" w:fill="FFFFFF"/>
          <w:lang w:val="ka-GE"/>
        </w:rPr>
      </w:pPr>
    </w:p>
    <w:p w:rsidR="00B232D4" w:rsidRPr="000A62E9" w:rsidRDefault="00396821" w:rsidP="008664C6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 w:cstheme="minorHAnsi"/>
          <w:szCs w:val="21"/>
          <w:shd w:val="clear" w:color="auto" w:fill="FFFFFF"/>
          <w:lang w:val="ka-GE"/>
        </w:rPr>
      </w:pP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>ფასიანი ქაღალდების გამოშვების შედეგად მთავრობის საშინაო ვალის ნაშთმა 202</w:t>
      </w:r>
      <w:r w:rsidR="0013522D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3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წლის </w:t>
      </w:r>
      <w:r w:rsidR="00C777F9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30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F9128F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სექტემბრის</w:t>
      </w:r>
      <w:r w:rsidR="005043A4"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მდგომარეობით შეადგინა </w:t>
      </w:r>
      <w:r w:rsidR="00F9128F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8</w:t>
      </w:r>
      <w:r w:rsidR="00613668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 </w:t>
      </w:r>
      <w:r w:rsidR="00F9128F" w:rsidRPr="000A62E9">
        <w:rPr>
          <w:rFonts w:ascii="Sylfaen" w:hAnsi="Sylfaen" w:cstheme="minorHAnsi"/>
          <w:szCs w:val="21"/>
          <w:shd w:val="clear" w:color="auto" w:fill="FFFFFF"/>
        </w:rPr>
        <w:t>148</w:t>
      </w:r>
      <w:r w:rsidR="00613668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.</w:t>
      </w:r>
      <w:r w:rsidR="00F9128F" w:rsidRPr="000A62E9">
        <w:rPr>
          <w:rFonts w:ascii="Sylfaen" w:hAnsi="Sylfaen" w:cstheme="minorHAnsi"/>
          <w:szCs w:val="21"/>
          <w:shd w:val="clear" w:color="auto" w:fill="FFFFFF"/>
        </w:rPr>
        <w:t>6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მლნ ლარი (ფასიანი ქაღალდების დაუფარავი მოცულობა ნომინალებში - </w:t>
      </w:r>
      <w:r w:rsidR="00613668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7 </w:t>
      </w:r>
      <w:r w:rsidR="00F9128F" w:rsidRPr="000A62E9">
        <w:rPr>
          <w:rFonts w:ascii="Sylfaen" w:hAnsi="Sylfaen" w:cstheme="minorHAnsi"/>
          <w:szCs w:val="21"/>
          <w:shd w:val="clear" w:color="auto" w:fill="FFFFFF"/>
        </w:rPr>
        <w:t>941</w:t>
      </w:r>
      <w:r w:rsidR="00613668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.</w:t>
      </w:r>
      <w:r w:rsidR="00F9128F" w:rsidRPr="000A62E9">
        <w:rPr>
          <w:rFonts w:ascii="Sylfaen" w:hAnsi="Sylfaen" w:cstheme="minorHAnsi"/>
          <w:szCs w:val="21"/>
          <w:shd w:val="clear" w:color="auto" w:fill="FFFFFF"/>
        </w:rPr>
        <w:t>5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მლნ ლარი და საბიუჯეტო ორგანიზაციების სესხის სახით 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lastRenderedPageBreak/>
        <w:t xml:space="preserve">არსებულ ნაშთი - </w:t>
      </w:r>
      <w:r w:rsidR="00F9128F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83</w:t>
      </w:r>
      <w:r w:rsidR="00430968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.6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მლნ ლარი), აქედან </w:t>
      </w:r>
      <w:r w:rsidR="00C777F9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7</w:t>
      </w:r>
      <w:r w:rsidR="00EB315F"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F9128F" w:rsidRPr="000A62E9">
        <w:rPr>
          <w:rFonts w:ascii="Sylfaen" w:hAnsi="Sylfaen" w:cstheme="minorHAnsi"/>
          <w:szCs w:val="21"/>
          <w:shd w:val="clear" w:color="auto" w:fill="FFFFFF"/>
        </w:rPr>
        <w:t>824</w:t>
      </w:r>
      <w:r w:rsidR="00993049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.</w:t>
      </w:r>
      <w:r w:rsidR="00F9128F" w:rsidRPr="000A62E9">
        <w:rPr>
          <w:rFonts w:ascii="Sylfaen" w:hAnsi="Sylfaen" w:cstheme="minorHAnsi"/>
          <w:szCs w:val="21"/>
          <w:shd w:val="clear" w:color="auto" w:fill="FFFFFF"/>
        </w:rPr>
        <w:t>2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მლნ ლარი წარმოადგენს ნაშთს სახაზინო ვალდებულებების და ობლიგაციების ნაწილში, </w:t>
      </w:r>
      <w:r w:rsidR="00F9128F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24</w:t>
      </w:r>
      <w:r w:rsidR="00C777F9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0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.8 მლნ ლარი - </w:t>
      </w:r>
      <w:r w:rsidR="008664C6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„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>ობლიგაცია სებ-სთვის და ღია ბაზრის ოპერაციებისათვის</w:t>
      </w:r>
      <w:r w:rsidR="008664C6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“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ნაწილში და საბიუჯეტო ორგანიზაციების სესხის სახით არსებულ ნაშთი - </w:t>
      </w:r>
      <w:r w:rsidR="00C777F9" w:rsidRPr="000A62E9">
        <w:rPr>
          <w:rFonts w:ascii="Sylfaen" w:hAnsi="Sylfaen" w:cstheme="minorHAnsi"/>
          <w:szCs w:val="21"/>
          <w:shd w:val="clear" w:color="auto" w:fill="FFFFFF"/>
          <w:lang w:val="ka-GE"/>
        </w:rPr>
        <w:t>8</w:t>
      </w:r>
      <w:r w:rsidR="00F9128F" w:rsidRPr="000A62E9">
        <w:rPr>
          <w:rFonts w:ascii="Sylfaen" w:hAnsi="Sylfaen" w:cstheme="minorHAnsi"/>
          <w:szCs w:val="21"/>
          <w:shd w:val="clear" w:color="auto" w:fill="FFFFFF"/>
        </w:rPr>
        <w:t>3</w:t>
      </w:r>
      <w:r w:rsidR="00C777F9"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.6 </w:t>
      </w:r>
      <w:r w:rsidRPr="000A62E9">
        <w:rPr>
          <w:rFonts w:ascii="Sylfaen" w:hAnsi="Sylfaen" w:cstheme="minorHAnsi"/>
          <w:szCs w:val="21"/>
          <w:shd w:val="clear" w:color="auto" w:fill="FFFFFF"/>
          <w:lang w:val="ka-GE"/>
        </w:rPr>
        <w:t>მლნ ლარი.</w:t>
      </w:r>
    </w:p>
    <w:p w:rsidR="00086670" w:rsidRPr="000A62E9" w:rsidRDefault="00086670" w:rsidP="00B30BC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 w:cstheme="minorHAnsi"/>
          <w:szCs w:val="21"/>
          <w:shd w:val="clear" w:color="auto" w:fill="FFFFFF"/>
          <w:lang w:val="ka-GE"/>
        </w:rPr>
      </w:pPr>
    </w:p>
    <w:p w:rsidR="00F9128F" w:rsidRPr="000A62E9" w:rsidRDefault="00F9128F" w:rsidP="00B30BC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 w:cstheme="minorHAnsi"/>
          <w:szCs w:val="21"/>
          <w:shd w:val="clear" w:color="auto" w:fill="FFFFFF"/>
          <w:lang w:val="ka-GE"/>
        </w:rPr>
      </w:pPr>
    </w:p>
    <w:p w:rsidR="00396821" w:rsidRPr="000A62E9" w:rsidRDefault="00396821" w:rsidP="00B30BC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theme="minorHAnsi"/>
          <w:b/>
          <w:sz w:val="20"/>
          <w:szCs w:val="20"/>
          <w:shd w:val="clear" w:color="auto" w:fill="FFFFFF"/>
          <w:lang w:val="ka-GE"/>
        </w:rPr>
      </w:pPr>
      <w:r w:rsidRPr="000A62E9">
        <w:rPr>
          <w:rFonts w:ascii="Sylfaen" w:hAnsi="Sylfaen" w:cstheme="minorHAnsi"/>
          <w:b/>
          <w:sz w:val="20"/>
          <w:szCs w:val="20"/>
          <w:shd w:val="clear" w:color="auto" w:fill="FFFFFF"/>
          <w:lang w:val="ka-GE"/>
        </w:rPr>
        <w:t xml:space="preserve">ფასიანი ქაღალდების დაუფარავი მოცულობა ნომინალებში ვადის და ტიპის მიხედვით და საბიუჯეტო ორგანიზაციების სესხის სახით არსებული ვალის ნაშთი </w:t>
      </w:r>
    </w:p>
    <w:p w:rsidR="00396821" w:rsidRPr="000A62E9" w:rsidRDefault="00B4541C" w:rsidP="00B30BC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theme="minorHAnsi"/>
          <w:b/>
          <w:sz w:val="20"/>
          <w:szCs w:val="20"/>
          <w:shd w:val="clear" w:color="auto" w:fill="FFFFFF"/>
          <w:lang w:val="ka-GE"/>
        </w:rPr>
      </w:pPr>
      <w:r w:rsidRPr="000A62E9">
        <w:rPr>
          <w:rFonts w:ascii="Sylfaen" w:hAnsi="Sylfaen" w:cstheme="minorHAnsi"/>
          <w:b/>
          <w:sz w:val="20"/>
          <w:szCs w:val="20"/>
          <w:shd w:val="clear" w:color="auto" w:fill="FFFFFF"/>
          <w:lang w:val="ka-GE"/>
        </w:rPr>
        <w:t>202</w:t>
      </w:r>
      <w:r w:rsidR="00C777F9" w:rsidRPr="000A62E9">
        <w:rPr>
          <w:rFonts w:ascii="Sylfaen" w:hAnsi="Sylfaen" w:cstheme="minorHAnsi"/>
          <w:b/>
          <w:sz w:val="20"/>
          <w:szCs w:val="20"/>
          <w:shd w:val="clear" w:color="auto" w:fill="FFFFFF"/>
          <w:lang w:val="ka-GE"/>
        </w:rPr>
        <w:t>3</w:t>
      </w:r>
      <w:r w:rsidR="00396821" w:rsidRPr="000A62E9">
        <w:rPr>
          <w:rFonts w:ascii="Sylfaen" w:hAnsi="Sylfaen" w:cstheme="minorHAnsi"/>
          <w:b/>
          <w:sz w:val="20"/>
          <w:szCs w:val="20"/>
          <w:shd w:val="clear" w:color="auto" w:fill="FFFFFF"/>
          <w:lang w:val="ka-GE"/>
        </w:rPr>
        <w:t xml:space="preserve"> წლის </w:t>
      </w:r>
      <w:r w:rsidR="00613668" w:rsidRPr="000A62E9">
        <w:rPr>
          <w:rFonts w:ascii="Sylfaen" w:hAnsi="Sylfaen" w:cstheme="minorHAnsi"/>
          <w:b/>
          <w:sz w:val="20"/>
          <w:szCs w:val="20"/>
          <w:shd w:val="clear" w:color="auto" w:fill="FFFFFF"/>
          <w:lang w:val="ka-GE"/>
        </w:rPr>
        <w:t>3</w:t>
      </w:r>
      <w:r w:rsidR="00C777F9" w:rsidRPr="000A62E9">
        <w:rPr>
          <w:rFonts w:ascii="Sylfaen" w:hAnsi="Sylfaen" w:cstheme="minorHAnsi"/>
          <w:b/>
          <w:sz w:val="20"/>
          <w:szCs w:val="20"/>
          <w:shd w:val="clear" w:color="auto" w:fill="FFFFFF"/>
          <w:lang w:val="ka-GE"/>
        </w:rPr>
        <w:t>0</w:t>
      </w:r>
      <w:r w:rsidR="00EB315F" w:rsidRPr="000A62E9">
        <w:rPr>
          <w:rFonts w:ascii="Sylfaen" w:hAnsi="Sylfaen"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="00F9128F" w:rsidRPr="000A62E9">
        <w:rPr>
          <w:rFonts w:ascii="Sylfaen" w:hAnsi="Sylfaen" w:cstheme="minorHAnsi"/>
          <w:b/>
          <w:sz w:val="20"/>
          <w:szCs w:val="20"/>
          <w:shd w:val="clear" w:color="auto" w:fill="FFFFFF"/>
          <w:lang w:val="ka-GE"/>
        </w:rPr>
        <w:t>სექტემბრის</w:t>
      </w:r>
      <w:r w:rsidR="00EB315F" w:rsidRPr="000A62E9">
        <w:rPr>
          <w:rFonts w:ascii="Sylfaen" w:hAnsi="Sylfaen"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="00396821" w:rsidRPr="000A62E9">
        <w:rPr>
          <w:rFonts w:ascii="Sylfaen" w:hAnsi="Sylfaen" w:cstheme="minorHAnsi"/>
          <w:b/>
          <w:sz w:val="20"/>
          <w:szCs w:val="20"/>
          <w:shd w:val="clear" w:color="auto" w:fill="FFFFFF"/>
          <w:lang w:val="ka-GE"/>
        </w:rPr>
        <w:t>მდგომარეობით</w:t>
      </w:r>
    </w:p>
    <w:p w:rsidR="00396821" w:rsidRPr="000A62E9" w:rsidRDefault="00396821" w:rsidP="00A11E3F">
      <w:pPr>
        <w:tabs>
          <w:tab w:val="left" w:pos="0"/>
        </w:tabs>
        <w:spacing w:after="0" w:line="240" w:lineRule="auto"/>
        <w:ind w:left="288" w:right="630" w:firstLine="720"/>
        <w:jc w:val="right"/>
        <w:rPr>
          <w:rFonts w:ascii="Sylfaen" w:hAnsi="Sylfaen" w:cstheme="minorHAnsi"/>
          <w:b/>
          <w:i/>
          <w:noProof/>
          <w:color w:val="000000"/>
          <w:sz w:val="18"/>
          <w:szCs w:val="18"/>
          <w:lang w:val="ka-GE"/>
        </w:rPr>
      </w:pPr>
      <w:r w:rsidRPr="000A62E9">
        <w:rPr>
          <w:rFonts w:ascii="Sylfaen" w:hAnsi="Sylfaen" w:cstheme="minorHAnsi"/>
          <w:b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63"/>
        <w:gridCol w:w="2280"/>
      </w:tblGrid>
      <w:tr w:rsidR="00F9128F" w:rsidRPr="000A62E9" w:rsidTr="000A62E9">
        <w:trPr>
          <w:trHeight w:val="412"/>
        </w:trPr>
        <w:tc>
          <w:tcPr>
            <w:tcW w:w="3865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F9128F" w:rsidRPr="000A62E9" w:rsidRDefault="00F9128F" w:rsidP="00F9128F">
            <w:pPr>
              <w:spacing w:after="0" w:line="240" w:lineRule="auto"/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proofErr w:type="spellStart"/>
            <w:r w:rsidRPr="000A62E9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სულ</w:t>
            </w:r>
            <w:proofErr w:type="spellEnd"/>
          </w:p>
        </w:tc>
        <w:tc>
          <w:tcPr>
            <w:tcW w:w="1135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F9128F" w:rsidRPr="000A62E9" w:rsidRDefault="00F9128F" w:rsidP="00F9128F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r w:rsidRPr="000A62E9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8,025,106.3</w:t>
            </w:r>
          </w:p>
        </w:tc>
      </w:tr>
      <w:tr w:rsidR="00F9128F" w:rsidRPr="000A62E9" w:rsidTr="000A62E9">
        <w:trPr>
          <w:trHeight w:val="349"/>
        </w:trPr>
        <w:tc>
          <w:tcPr>
            <w:tcW w:w="386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F9128F" w:rsidRPr="000A62E9" w:rsidRDefault="00F9128F" w:rsidP="00F9128F">
            <w:pPr>
              <w:spacing w:after="0" w:line="240" w:lineRule="auto"/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proofErr w:type="spellStart"/>
            <w:r w:rsidRPr="000A62E9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სახაზინო</w:t>
            </w:r>
            <w:proofErr w:type="spellEnd"/>
            <w:r w:rsidRPr="000A62E9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ფასიანი</w:t>
            </w:r>
            <w:proofErr w:type="spellEnd"/>
            <w:r w:rsidRPr="000A62E9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ქაღალდები</w:t>
            </w:r>
            <w:proofErr w:type="spellEnd"/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F9128F" w:rsidRPr="000A62E9" w:rsidRDefault="00F9128F" w:rsidP="00F9128F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r w:rsidRPr="000A62E9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7,700,668.0</w:t>
            </w:r>
          </w:p>
        </w:tc>
      </w:tr>
      <w:tr w:rsidR="00F9128F" w:rsidRPr="000A62E9" w:rsidTr="000A62E9">
        <w:trPr>
          <w:trHeight w:val="169"/>
        </w:trPr>
        <w:tc>
          <w:tcPr>
            <w:tcW w:w="386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F9128F" w:rsidRPr="000A62E9" w:rsidRDefault="00F9128F" w:rsidP="00F9128F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0A62E9">
              <w:rPr>
                <w:rFonts w:ascii="Sylfaen" w:eastAsia="Times New Roman" w:hAnsi="Sylfaen" w:cstheme="minorHAnsi"/>
                <w:sz w:val="20"/>
                <w:szCs w:val="20"/>
              </w:rPr>
              <w:t>სახაზინო</w:t>
            </w:r>
            <w:proofErr w:type="spellEnd"/>
            <w:r w:rsidRPr="000A62E9">
              <w:rPr>
                <w:rFonts w:ascii="Sylfaen" w:eastAsia="Times New Roman" w:hAnsi="Sylfaen" w:cstheme="minorHAnsi"/>
                <w:sz w:val="20"/>
                <w:szCs w:val="20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theme="minorHAnsi"/>
                <w:sz w:val="20"/>
                <w:szCs w:val="20"/>
              </w:rPr>
              <w:t>ვალდებულებები</w:t>
            </w:r>
            <w:proofErr w:type="spellEnd"/>
            <w:r w:rsidRPr="000A62E9">
              <w:rPr>
                <w:rFonts w:ascii="Sylfaen" w:eastAsia="Times New Roman" w:hAnsi="Sylfaen" w:cstheme="minorHAnsi"/>
                <w:sz w:val="20"/>
                <w:szCs w:val="20"/>
              </w:rPr>
              <w:t xml:space="preserve"> (1 </w:t>
            </w:r>
            <w:proofErr w:type="spellStart"/>
            <w:r w:rsidRPr="000A62E9">
              <w:rPr>
                <w:rFonts w:ascii="Sylfaen" w:eastAsia="Times New Roman" w:hAnsi="Sylfaen" w:cstheme="minorHAnsi"/>
                <w:sz w:val="20"/>
                <w:szCs w:val="20"/>
              </w:rPr>
              <w:t>წლამდე</w:t>
            </w:r>
            <w:proofErr w:type="spellEnd"/>
            <w:r w:rsidRPr="000A62E9">
              <w:rPr>
                <w:rFonts w:ascii="Sylfaen" w:eastAsia="Times New Roman" w:hAnsi="Sylfaen" w:cstheme="minorHAnsi"/>
                <w:sz w:val="20"/>
                <w:szCs w:val="20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theme="minorHAnsi"/>
                <w:sz w:val="20"/>
                <w:szCs w:val="20"/>
              </w:rPr>
              <w:t>ვადის</w:t>
            </w:r>
            <w:proofErr w:type="spellEnd"/>
            <w:r w:rsidRPr="000A62E9">
              <w:rPr>
                <w:rFonts w:ascii="Sylfaen" w:eastAsia="Times New Roman" w:hAnsi="Sylfaen" w:cstheme="minorHAnsi"/>
                <w:sz w:val="20"/>
                <w:szCs w:val="20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theme="minorHAnsi"/>
                <w:sz w:val="20"/>
                <w:szCs w:val="20"/>
              </w:rPr>
              <w:t>მქონე</w:t>
            </w:r>
            <w:proofErr w:type="spellEnd"/>
            <w:r w:rsidRPr="000A62E9">
              <w:rPr>
                <w:rFonts w:ascii="Sylfaen" w:eastAsia="Times New Roman" w:hAnsi="Sylfaen" w:cstheme="minorHAnsi"/>
                <w:sz w:val="20"/>
                <w:szCs w:val="20"/>
              </w:rPr>
              <w:t>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F9128F" w:rsidRPr="000A62E9" w:rsidRDefault="00F9128F" w:rsidP="00F9128F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0A62E9">
              <w:rPr>
                <w:rFonts w:ascii="Sylfaen" w:eastAsia="Times New Roman" w:hAnsi="Sylfaen" w:cstheme="minorHAnsi"/>
                <w:sz w:val="20"/>
                <w:szCs w:val="20"/>
              </w:rPr>
              <w:t>390,000.0</w:t>
            </w:r>
          </w:p>
        </w:tc>
      </w:tr>
      <w:tr w:rsidR="00F9128F" w:rsidRPr="000A62E9" w:rsidTr="000A62E9">
        <w:trPr>
          <w:trHeight w:val="375"/>
        </w:trPr>
        <w:tc>
          <w:tcPr>
            <w:tcW w:w="386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F9128F" w:rsidRPr="000A62E9" w:rsidRDefault="00F9128F" w:rsidP="00F9128F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0A62E9">
              <w:rPr>
                <w:rFonts w:ascii="Sylfaen" w:eastAsia="Times New Roman" w:hAnsi="Sylfaen" w:cstheme="minorHAnsi"/>
                <w:sz w:val="20"/>
                <w:szCs w:val="20"/>
              </w:rPr>
              <w:t>სახაზინო</w:t>
            </w:r>
            <w:proofErr w:type="spellEnd"/>
            <w:r w:rsidRPr="000A62E9">
              <w:rPr>
                <w:rFonts w:ascii="Sylfaen" w:eastAsia="Times New Roman" w:hAnsi="Sylfaen" w:cstheme="minorHAnsi"/>
                <w:sz w:val="20"/>
                <w:szCs w:val="20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theme="minorHAnsi"/>
                <w:sz w:val="20"/>
                <w:szCs w:val="20"/>
              </w:rPr>
              <w:t>ობლიგაციები</w:t>
            </w:r>
            <w:proofErr w:type="spellEnd"/>
            <w:r w:rsidRPr="000A62E9">
              <w:rPr>
                <w:rFonts w:ascii="Sylfaen" w:eastAsia="Times New Roman" w:hAnsi="Sylfaen" w:cstheme="minorHAnsi"/>
                <w:sz w:val="20"/>
                <w:szCs w:val="20"/>
              </w:rPr>
              <w:t xml:space="preserve"> (1 </w:t>
            </w:r>
            <w:proofErr w:type="spellStart"/>
            <w:r w:rsidRPr="000A62E9">
              <w:rPr>
                <w:rFonts w:ascii="Sylfaen" w:eastAsia="Times New Roman" w:hAnsi="Sylfaen" w:cstheme="minorHAnsi"/>
                <w:sz w:val="20"/>
                <w:szCs w:val="20"/>
              </w:rPr>
              <w:t>წელზე</w:t>
            </w:r>
            <w:proofErr w:type="spellEnd"/>
            <w:r w:rsidRPr="000A62E9">
              <w:rPr>
                <w:rFonts w:ascii="Sylfaen" w:eastAsia="Times New Roman" w:hAnsi="Sylfaen" w:cstheme="minorHAnsi"/>
                <w:sz w:val="20"/>
                <w:szCs w:val="20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theme="minorHAnsi"/>
                <w:sz w:val="20"/>
                <w:szCs w:val="20"/>
              </w:rPr>
              <w:t>მეტი</w:t>
            </w:r>
            <w:proofErr w:type="spellEnd"/>
            <w:r w:rsidRPr="000A62E9">
              <w:rPr>
                <w:rFonts w:ascii="Sylfaen" w:eastAsia="Times New Roman" w:hAnsi="Sylfaen" w:cstheme="minorHAnsi"/>
                <w:sz w:val="20"/>
                <w:szCs w:val="20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theme="minorHAnsi"/>
                <w:sz w:val="20"/>
                <w:szCs w:val="20"/>
              </w:rPr>
              <w:t>ვადის</w:t>
            </w:r>
            <w:proofErr w:type="spellEnd"/>
            <w:r w:rsidRPr="000A62E9">
              <w:rPr>
                <w:rFonts w:ascii="Sylfaen" w:eastAsia="Times New Roman" w:hAnsi="Sylfaen" w:cstheme="minorHAnsi"/>
                <w:sz w:val="20"/>
                <w:szCs w:val="20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theme="minorHAnsi"/>
                <w:sz w:val="20"/>
                <w:szCs w:val="20"/>
              </w:rPr>
              <w:t>მქონე</w:t>
            </w:r>
            <w:proofErr w:type="spellEnd"/>
            <w:r w:rsidRPr="000A62E9">
              <w:rPr>
                <w:rFonts w:ascii="Sylfaen" w:eastAsia="Times New Roman" w:hAnsi="Sylfaen" w:cstheme="minorHAnsi"/>
                <w:sz w:val="20"/>
                <w:szCs w:val="20"/>
              </w:rPr>
              <w:t>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F9128F" w:rsidRPr="000A62E9" w:rsidRDefault="00F9128F" w:rsidP="00F9128F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0A62E9">
              <w:rPr>
                <w:rFonts w:ascii="Sylfaen" w:eastAsia="Times New Roman" w:hAnsi="Sylfaen" w:cstheme="minorHAnsi"/>
                <w:sz w:val="20"/>
                <w:szCs w:val="20"/>
              </w:rPr>
              <w:t>7,310,668.0</w:t>
            </w:r>
          </w:p>
        </w:tc>
      </w:tr>
      <w:tr w:rsidR="00F9128F" w:rsidRPr="000A62E9" w:rsidTr="000A62E9">
        <w:trPr>
          <w:trHeight w:val="232"/>
        </w:trPr>
        <w:tc>
          <w:tcPr>
            <w:tcW w:w="386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F9128F" w:rsidRPr="000A62E9" w:rsidRDefault="00F9128F" w:rsidP="00F9128F">
            <w:pPr>
              <w:spacing w:after="0" w:line="240" w:lineRule="auto"/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proofErr w:type="spellStart"/>
            <w:r w:rsidRPr="000A62E9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სხვა</w:t>
            </w:r>
            <w:proofErr w:type="spellEnd"/>
            <w:r w:rsidRPr="000A62E9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ფასიანი</w:t>
            </w:r>
            <w:proofErr w:type="spellEnd"/>
            <w:r w:rsidRPr="000A62E9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ქაღალდები</w:t>
            </w:r>
            <w:proofErr w:type="spellEnd"/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F9128F" w:rsidRPr="000A62E9" w:rsidRDefault="00F9128F" w:rsidP="00F9128F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r w:rsidRPr="000A62E9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240,846.0</w:t>
            </w:r>
          </w:p>
        </w:tc>
      </w:tr>
      <w:tr w:rsidR="00F9128F" w:rsidRPr="000A62E9" w:rsidTr="000A62E9">
        <w:trPr>
          <w:trHeight w:val="322"/>
        </w:trPr>
        <w:tc>
          <w:tcPr>
            <w:tcW w:w="386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F9128F" w:rsidRPr="000A62E9" w:rsidRDefault="00F9128F" w:rsidP="00F9128F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0A62E9">
              <w:rPr>
                <w:rFonts w:ascii="Sylfaen" w:eastAsia="Times New Roman" w:hAnsi="Sylfaen" w:cstheme="minorHAnsi"/>
                <w:sz w:val="20"/>
                <w:szCs w:val="20"/>
              </w:rPr>
              <w:t>ობლიგაცია</w:t>
            </w:r>
            <w:proofErr w:type="spellEnd"/>
            <w:r w:rsidRPr="000A62E9">
              <w:rPr>
                <w:rFonts w:ascii="Sylfaen" w:eastAsia="Times New Roman" w:hAnsi="Sylfaen" w:cstheme="minorHAnsi"/>
                <w:sz w:val="20"/>
                <w:szCs w:val="20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theme="minorHAnsi"/>
                <w:sz w:val="20"/>
                <w:szCs w:val="20"/>
              </w:rPr>
              <w:t>სებ-ისთვის</w:t>
            </w:r>
            <w:proofErr w:type="spellEnd"/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F9128F" w:rsidRPr="000A62E9" w:rsidRDefault="00F9128F" w:rsidP="00F9128F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0A62E9">
              <w:rPr>
                <w:rFonts w:ascii="Sylfaen" w:eastAsia="Times New Roman" w:hAnsi="Sylfaen" w:cstheme="minorHAnsi"/>
                <w:sz w:val="20"/>
                <w:szCs w:val="20"/>
              </w:rPr>
              <w:t>80,846.0</w:t>
            </w:r>
          </w:p>
        </w:tc>
      </w:tr>
      <w:tr w:rsidR="00F9128F" w:rsidRPr="000A62E9" w:rsidTr="000A62E9">
        <w:trPr>
          <w:trHeight w:val="259"/>
        </w:trPr>
        <w:tc>
          <w:tcPr>
            <w:tcW w:w="386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F9128F" w:rsidRPr="000A62E9" w:rsidRDefault="00F9128F" w:rsidP="00F9128F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0A62E9">
              <w:rPr>
                <w:rFonts w:ascii="Sylfaen" w:eastAsia="Times New Roman" w:hAnsi="Sylfaen" w:cstheme="minorHAnsi"/>
                <w:sz w:val="20"/>
                <w:szCs w:val="20"/>
              </w:rPr>
              <w:t>ობლიგაციები</w:t>
            </w:r>
            <w:proofErr w:type="spellEnd"/>
            <w:r w:rsidRPr="000A62E9">
              <w:rPr>
                <w:rFonts w:ascii="Sylfaen" w:eastAsia="Times New Roman" w:hAnsi="Sylfaen" w:cstheme="minorHAnsi"/>
                <w:sz w:val="20"/>
                <w:szCs w:val="20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theme="minorHAnsi"/>
                <w:sz w:val="20"/>
                <w:szCs w:val="20"/>
              </w:rPr>
              <w:t>ღია</w:t>
            </w:r>
            <w:proofErr w:type="spellEnd"/>
            <w:r w:rsidRPr="000A62E9">
              <w:rPr>
                <w:rFonts w:ascii="Sylfaen" w:eastAsia="Times New Roman" w:hAnsi="Sylfaen" w:cstheme="minorHAnsi"/>
                <w:sz w:val="20"/>
                <w:szCs w:val="20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theme="minorHAnsi"/>
                <w:sz w:val="20"/>
                <w:szCs w:val="20"/>
              </w:rPr>
              <w:t>ბაზრის</w:t>
            </w:r>
            <w:proofErr w:type="spellEnd"/>
            <w:r w:rsidRPr="000A62E9">
              <w:rPr>
                <w:rFonts w:ascii="Sylfaen" w:eastAsia="Times New Roman" w:hAnsi="Sylfaen" w:cstheme="minorHAnsi"/>
                <w:sz w:val="20"/>
                <w:szCs w:val="20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theme="minorHAnsi"/>
                <w:sz w:val="20"/>
                <w:szCs w:val="20"/>
              </w:rPr>
              <w:t>ოპერაციებისთვის</w:t>
            </w:r>
            <w:proofErr w:type="spellEnd"/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F9128F" w:rsidRPr="000A62E9" w:rsidRDefault="00F9128F" w:rsidP="00F9128F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0A62E9">
              <w:rPr>
                <w:rFonts w:ascii="Sylfaen" w:eastAsia="Times New Roman" w:hAnsi="Sylfaen" w:cstheme="minorHAnsi"/>
                <w:sz w:val="20"/>
                <w:szCs w:val="20"/>
              </w:rPr>
              <w:t>160,000.0</w:t>
            </w:r>
          </w:p>
        </w:tc>
      </w:tr>
      <w:tr w:rsidR="00F9128F" w:rsidRPr="000A62E9" w:rsidTr="000A62E9">
        <w:trPr>
          <w:trHeight w:val="331"/>
        </w:trPr>
        <w:tc>
          <w:tcPr>
            <w:tcW w:w="386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F9128F" w:rsidRPr="000A62E9" w:rsidRDefault="00F9128F" w:rsidP="00F9128F">
            <w:pPr>
              <w:spacing w:after="0" w:line="240" w:lineRule="auto"/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proofErr w:type="spellStart"/>
            <w:r w:rsidRPr="000A62E9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საბიუჯეტო</w:t>
            </w:r>
            <w:proofErr w:type="spellEnd"/>
            <w:r w:rsidRPr="000A62E9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ორგანიზაციების</w:t>
            </w:r>
            <w:proofErr w:type="spellEnd"/>
            <w:r w:rsidRPr="000A62E9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სესხის</w:t>
            </w:r>
            <w:proofErr w:type="spellEnd"/>
            <w:r w:rsidRPr="000A62E9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სახით</w:t>
            </w:r>
            <w:proofErr w:type="spellEnd"/>
            <w:r w:rsidRPr="000A62E9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არსებული</w:t>
            </w:r>
            <w:proofErr w:type="spellEnd"/>
            <w:r w:rsidRPr="000A62E9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ვალი</w:t>
            </w:r>
            <w:proofErr w:type="spellEnd"/>
            <w:r w:rsidRPr="000A62E9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F9128F" w:rsidRPr="000A62E9" w:rsidRDefault="00F9128F" w:rsidP="00F9128F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r w:rsidRPr="000A62E9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83,592.3</w:t>
            </w:r>
          </w:p>
        </w:tc>
      </w:tr>
      <w:tr w:rsidR="00F9128F" w:rsidRPr="000A62E9" w:rsidTr="000A62E9">
        <w:trPr>
          <w:trHeight w:val="277"/>
        </w:trPr>
        <w:tc>
          <w:tcPr>
            <w:tcW w:w="3865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F9128F" w:rsidRPr="000A62E9" w:rsidRDefault="00F9128F" w:rsidP="00F9128F">
            <w:pPr>
              <w:spacing w:after="0" w:line="240" w:lineRule="auto"/>
              <w:ind w:firstLineChars="200" w:firstLine="360"/>
              <w:rPr>
                <w:rFonts w:ascii="Sylfaen" w:eastAsia="Times New Roman" w:hAnsi="Sylfaen" w:cstheme="minorHAnsi"/>
                <w:i/>
                <w:iCs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theme="minorHAnsi"/>
                <w:i/>
                <w:iCs/>
                <w:sz w:val="18"/>
                <w:szCs w:val="18"/>
              </w:rPr>
              <w:t>მ.შ</w:t>
            </w:r>
            <w:proofErr w:type="spellEnd"/>
            <w:r w:rsidRPr="000A62E9">
              <w:rPr>
                <w:rFonts w:ascii="Sylfaen" w:eastAsia="Times New Roman" w:hAnsi="Sylfaen" w:cstheme="minorHAnsi"/>
                <w:i/>
                <w:iCs/>
                <w:sz w:val="18"/>
                <w:szCs w:val="18"/>
              </w:rPr>
              <w:t xml:space="preserve">.  </w:t>
            </w:r>
            <w:proofErr w:type="spellStart"/>
            <w:r w:rsidRPr="000A62E9">
              <w:rPr>
                <w:rFonts w:ascii="Sylfaen" w:eastAsia="Times New Roman" w:hAnsi="Sylfaen" w:cstheme="minorHAnsi"/>
                <w:i/>
                <w:iCs/>
                <w:sz w:val="18"/>
                <w:szCs w:val="18"/>
              </w:rPr>
              <w:t>სამთავრობო</w:t>
            </w:r>
            <w:proofErr w:type="spellEnd"/>
            <w:r w:rsidRPr="000A62E9">
              <w:rPr>
                <w:rFonts w:ascii="Sylfaen" w:eastAsia="Times New Roman" w:hAnsi="Sylfaen" w:cstheme="minorHAnsi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0A62E9">
              <w:rPr>
                <w:rFonts w:ascii="Sylfaen" w:eastAsia="Times New Roman" w:hAnsi="Sylfaen" w:cstheme="minorHAnsi"/>
                <w:i/>
                <w:iCs/>
                <w:sz w:val="18"/>
                <w:szCs w:val="18"/>
              </w:rPr>
              <w:t>სექტორისათვის</w:t>
            </w:r>
            <w:proofErr w:type="spellEnd"/>
            <w:r w:rsidRPr="000A62E9">
              <w:rPr>
                <w:rFonts w:ascii="Sylfaen" w:eastAsia="Times New Roman" w:hAnsi="Sylfaen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theme="minorHAnsi"/>
                <w:i/>
                <w:iCs/>
                <w:sz w:val="18"/>
                <w:szCs w:val="18"/>
              </w:rPr>
              <w:t>მიკუთვნებული</w:t>
            </w:r>
            <w:proofErr w:type="spellEnd"/>
            <w:r w:rsidRPr="000A62E9">
              <w:rPr>
                <w:rFonts w:ascii="Sylfaen" w:eastAsia="Times New Roman" w:hAnsi="Sylfaen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theme="minorHAnsi"/>
                <w:i/>
                <w:iCs/>
                <w:sz w:val="18"/>
                <w:szCs w:val="18"/>
              </w:rPr>
              <w:t>სახელმწიფო</w:t>
            </w:r>
            <w:proofErr w:type="spellEnd"/>
            <w:r w:rsidRPr="000A62E9">
              <w:rPr>
                <w:rFonts w:ascii="Sylfaen" w:eastAsia="Times New Roman" w:hAnsi="Sylfaen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theme="minorHAnsi"/>
                <w:i/>
                <w:iCs/>
                <w:sz w:val="18"/>
                <w:szCs w:val="18"/>
              </w:rPr>
              <w:t>საწარმოები</w:t>
            </w:r>
            <w:proofErr w:type="spellEnd"/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F9128F" w:rsidRPr="000A62E9" w:rsidRDefault="00F9128F" w:rsidP="00F9128F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i/>
                <w:iCs/>
                <w:sz w:val="18"/>
                <w:szCs w:val="18"/>
              </w:rPr>
            </w:pPr>
            <w:r w:rsidRPr="000A62E9">
              <w:rPr>
                <w:rFonts w:ascii="Sylfaen" w:eastAsia="Times New Roman" w:hAnsi="Sylfaen" w:cstheme="minorHAnsi"/>
                <w:i/>
                <w:iCs/>
                <w:sz w:val="18"/>
                <w:szCs w:val="18"/>
              </w:rPr>
              <w:t>48,571.1</w:t>
            </w:r>
          </w:p>
        </w:tc>
      </w:tr>
    </w:tbl>
    <w:p w:rsidR="00396821" w:rsidRPr="000A62E9" w:rsidRDefault="00396821" w:rsidP="00F9128F">
      <w:pPr>
        <w:autoSpaceDE w:val="0"/>
        <w:autoSpaceDN w:val="0"/>
        <w:adjustRightInd w:val="0"/>
        <w:spacing w:after="0" w:line="240" w:lineRule="auto"/>
        <w:ind w:left="7200"/>
        <w:rPr>
          <w:rFonts w:ascii="Sylfaen" w:hAnsi="Sylfaen" w:cstheme="minorHAnsi"/>
          <w:b/>
          <w:i/>
          <w:szCs w:val="18"/>
          <w:shd w:val="clear" w:color="auto" w:fill="FFFFFF"/>
        </w:rPr>
      </w:pPr>
    </w:p>
    <w:p w:rsidR="00CC4209" w:rsidRPr="000A62E9" w:rsidRDefault="00CC4209" w:rsidP="00CC420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Sylfaen" w:hAnsi="Sylfaen" w:cstheme="minorHAnsi"/>
          <w:i/>
          <w:sz w:val="16"/>
          <w:szCs w:val="16"/>
        </w:rPr>
      </w:pPr>
      <w:r w:rsidRPr="000A62E9">
        <w:rPr>
          <w:rFonts w:ascii="Sylfaen" w:hAnsi="Sylfaen" w:cstheme="minorHAnsi"/>
          <w:i/>
          <w:sz w:val="16"/>
          <w:szCs w:val="16"/>
        </w:rPr>
        <w:t xml:space="preserve">* </w:t>
      </w:r>
      <w:proofErr w:type="spellStart"/>
      <w:r w:rsidRPr="000A62E9">
        <w:rPr>
          <w:rFonts w:ascii="Sylfaen" w:hAnsi="Sylfaen" w:cstheme="minorHAnsi"/>
          <w:i/>
          <w:sz w:val="16"/>
          <w:szCs w:val="16"/>
        </w:rPr>
        <w:t>საბიუჯეტო</w:t>
      </w:r>
      <w:proofErr w:type="spellEnd"/>
      <w:r w:rsidRPr="000A62E9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Pr="000A62E9">
        <w:rPr>
          <w:rFonts w:ascii="Sylfaen" w:hAnsi="Sylfaen" w:cstheme="minorHAnsi"/>
          <w:i/>
          <w:sz w:val="16"/>
          <w:szCs w:val="16"/>
        </w:rPr>
        <w:t>კოდექსში</w:t>
      </w:r>
      <w:proofErr w:type="spellEnd"/>
      <w:r w:rsidRPr="000A62E9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Pr="000A62E9">
        <w:rPr>
          <w:rFonts w:ascii="Sylfaen" w:hAnsi="Sylfaen" w:cstheme="minorHAnsi"/>
          <w:i/>
          <w:sz w:val="16"/>
          <w:szCs w:val="16"/>
        </w:rPr>
        <w:t>განხორციელებული</w:t>
      </w:r>
      <w:proofErr w:type="spellEnd"/>
      <w:r w:rsidRPr="000A62E9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Pr="000A62E9">
        <w:rPr>
          <w:rFonts w:ascii="Sylfaen" w:hAnsi="Sylfaen" w:cstheme="minorHAnsi"/>
          <w:i/>
          <w:sz w:val="16"/>
          <w:szCs w:val="16"/>
        </w:rPr>
        <w:t>ცვლილების</w:t>
      </w:r>
      <w:proofErr w:type="spellEnd"/>
      <w:r w:rsidRPr="000A62E9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Pr="000A62E9">
        <w:rPr>
          <w:rFonts w:ascii="Sylfaen" w:hAnsi="Sylfaen" w:cstheme="minorHAnsi"/>
          <w:i/>
          <w:sz w:val="16"/>
          <w:szCs w:val="16"/>
        </w:rPr>
        <w:t>შესაბამისად</w:t>
      </w:r>
      <w:proofErr w:type="spellEnd"/>
      <w:r w:rsidRPr="000A62E9">
        <w:rPr>
          <w:rFonts w:ascii="Sylfaen" w:hAnsi="Sylfaen" w:cstheme="minorHAnsi"/>
          <w:i/>
          <w:sz w:val="16"/>
          <w:szCs w:val="16"/>
        </w:rPr>
        <w:t xml:space="preserve">, </w:t>
      </w:r>
      <w:proofErr w:type="spellStart"/>
      <w:r w:rsidRPr="000A62E9">
        <w:rPr>
          <w:rFonts w:ascii="Sylfaen" w:hAnsi="Sylfaen" w:cstheme="minorHAnsi"/>
          <w:i/>
          <w:sz w:val="16"/>
          <w:szCs w:val="16"/>
        </w:rPr>
        <w:t>გათვალისწინებულია</w:t>
      </w:r>
      <w:proofErr w:type="spellEnd"/>
      <w:r w:rsidRPr="000A62E9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Pr="000A62E9">
        <w:rPr>
          <w:rFonts w:ascii="Sylfaen" w:hAnsi="Sylfaen" w:cstheme="minorHAnsi"/>
          <w:i/>
          <w:sz w:val="16"/>
          <w:szCs w:val="16"/>
        </w:rPr>
        <w:t>სამთავრობო</w:t>
      </w:r>
      <w:proofErr w:type="spellEnd"/>
      <w:r w:rsidRPr="000A62E9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Pr="000A62E9">
        <w:rPr>
          <w:rFonts w:ascii="Sylfaen" w:hAnsi="Sylfaen" w:cstheme="minorHAnsi"/>
          <w:i/>
          <w:sz w:val="16"/>
          <w:szCs w:val="16"/>
        </w:rPr>
        <w:t>სექტორისათვის</w:t>
      </w:r>
      <w:proofErr w:type="spellEnd"/>
      <w:r w:rsidRPr="000A62E9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Pr="000A62E9">
        <w:rPr>
          <w:rFonts w:ascii="Sylfaen" w:hAnsi="Sylfaen" w:cstheme="minorHAnsi"/>
          <w:i/>
          <w:sz w:val="16"/>
          <w:szCs w:val="16"/>
        </w:rPr>
        <w:t>მიკუთვნებული</w:t>
      </w:r>
      <w:proofErr w:type="spellEnd"/>
      <w:r w:rsidRPr="000A62E9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Pr="000A62E9">
        <w:rPr>
          <w:rFonts w:ascii="Sylfaen" w:hAnsi="Sylfaen" w:cstheme="minorHAnsi"/>
          <w:i/>
          <w:sz w:val="16"/>
          <w:szCs w:val="16"/>
        </w:rPr>
        <w:t>სახელმწიფო</w:t>
      </w:r>
      <w:proofErr w:type="spellEnd"/>
      <w:r w:rsidRPr="000A62E9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Pr="000A62E9">
        <w:rPr>
          <w:rFonts w:ascii="Sylfaen" w:hAnsi="Sylfaen" w:cstheme="minorHAnsi"/>
          <w:i/>
          <w:sz w:val="16"/>
          <w:szCs w:val="16"/>
        </w:rPr>
        <w:t>საწარმოების</w:t>
      </w:r>
      <w:proofErr w:type="spellEnd"/>
      <w:r w:rsidRPr="000A62E9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Pr="000A62E9">
        <w:rPr>
          <w:rFonts w:ascii="Sylfaen" w:hAnsi="Sylfaen" w:cstheme="minorHAnsi"/>
          <w:i/>
          <w:sz w:val="16"/>
          <w:szCs w:val="16"/>
        </w:rPr>
        <w:t>სესხის</w:t>
      </w:r>
      <w:proofErr w:type="spellEnd"/>
      <w:r w:rsidRPr="000A62E9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Pr="000A62E9">
        <w:rPr>
          <w:rFonts w:ascii="Sylfaen" w:hAnsi="Sylfaen" w:cstheme="minorHAnsi"/>
          <w:i/>
          <w:sz w:val="16"/>
          <w:szCs w:val="16"/>
        </w:rPr>
        <w:t>სახით</w:t>
      </w:r>
      <w:proofErr w:type="spellEnd"/>
      <w:r w:rsidRPr="000A62E9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Pr="000A62E9">
        <w:rPr>
          <w:rFonts w:ascii="Sylfaen" w:hAnsi="Sylfaen" w:cstheme="minorHAnsi"/>
          <w:i/>
          <w:sz w:val="16"/>
          <w:szCs w:val="16"/>
        </w:rPr>
        <w:t>არსებული</w:t>
      </w:r>
      <w:proofErr w:type="spellEnd"/>
      <w:r w:rsidRPr="000A62E9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Pr="000A62E9">
        <w:rPr>
          <w:rFonts w:ascii="Sylfaen" w:hAnsi="Sylfaen" w:cstheme="minorHAnsi"/>
          <w:i/>
          <w:sz w:val="16"/>
          <w:szCs w:val="16"/>
        </w:rPr>
        <w:t>ვალი</w:t>
      </w:r>
      <w:proofErr w:type="spellEnd"/>
      <w:r w:rsidRPr="000A62E9">
        <w:rPr>
          <w:rFonts w:ascii="Sylfaen" w:hAnsi="Sylfaen" w:cstheme="minorHAnsi"/>
          <w:i/>
          <w:sz w:val="16"/>
          <w:szCs w:val="16"/>
        </w:rPr>
        <w:t xml:space="preserve"> 2022 </w:t>
      </w:r>
      <w:proofErr w:type="spellStart"/>
      <w:r w:rsidRPr="000A62E9">
        <w:rPr>
          <w:rFonts w:ascii="Sylfaen" w:hAnsi="Sylfaen" w:cstheme="minorHAnsi"/>
          <w:i/>
          <w:sz w:val="16"/>
          <w:szCs w:val="16"/>
        </w:rPr>
        <w:t>წლის</w:t>
      </w:r>
      <w:proofErr w:type="spellEnd"/>
      <w:r w:rsidRPr="000A62E9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Pr="000A62E9">
        <w:rPr>
          <w:rFonts w:ascii="Sylfaen" w:hAnsi="Sylfaen" w:cstheme="minorHAnsi"/>
          <w:i/>
          <w:sz w:val="16"/>
          <w:szCs w:val="16"/>
        </w:rPr>
        <w:t>დეკემბრიდან</w:t>
      </w:r>
      <w:proofErr w:type="spellEnd"/>
    </w:p>
    <w:p w:rsidR="00CC4209" w:rsidRPr="000A62E9" w:rsidRDefault="00CC4209" w:rsidP="00CC420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Sylfaen" w:hAnsi="Sylfaen" w:cstheme="minorHAnsi"/>
          <w:b/>
          <w:i/>
          <w:color w:val="7F7F7F" w:themeColor="text1" w:themeTint="80"/>
          <w:sz w:val="14"/>
          <w:szCs w:val="14"/>
          <w:shd w:val="clear" w:color="auto" w:fill="FFFFFF"/>
        </w:rPr>
      </w:pPr>
    </w:p>
    <w:p w:rsidR="008664C6" w:rsidRPr="000A62E9" w:rsidRDefault="008664C6" w:rsidP="00B30BCE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theme="minorHAnsi"/>
          <w:lang w:val="ka-GE"/>
        </w:rPr>
      </w:pPr>
    </w:p>
    <w:p w:rsidR="00396821" w:rsidRPr="000A62E9" w:rsidRDefault="008664C6" w:rsidP="008664C6">
      <w:pPr>
        <w:tabs>
          <w:tab w:val="left" w:pos="720"/>
        </w:tabs>
        <w:spacing w:after="0" w:line="240" w:lineRule="auto"/>
        <w:jc w:val="both"/>
        <w:rPr>
          <w:rFonts w:ascii="Sylfaen" w:hAnsi="Sylfaen" w:cstheme="minorHAnsi"/>
          <w:lang w:val="ka-GE"/>
        </w:rPr>
      </w:pPr>
      <w:r w:rsidRPr="000A62E9">
        <w:rPr>
          <w:rFonts w:ascii="Sylfaen" w:hAnsi="Sylfaen" w:cstheme="minorHAnsi"/>
          <w:lang w:val="ka-GE"/>
        </w:rPr>
        <w:tab/>
      </w:r>
      <w:r w:rsidR="00B4541C" w:rsidRPr="000A62E9">
        <w:rPr>
          <w:rFonts w:ascii="Sylfaen" w:hAnsi="Sylfaen" w:cstheme="minorHAnsi"/>
          <w:lang w:val="ka-GE"/>
        </w:rPr>
        <w:t>202</w:t>
      </w:r>
      <w:r w:rsidR="00430968" w:rsidRPr="000A62E9">
        <w:rPr>
          <w:rFonts w:ascii="Sylfaen" w:hAnsi="Sylfaen" w:cstheme="minorHAnsi"/>
          <w:lang w:val="ka-GE"/>
        </w:rPr>
        <w:t>3</w:t>
      </w:r>
      <w:r w:rsidR="00396821" w:rsidRPr="000A62E9">
        <w:rPr>
          <w:rFonts w:ascii="Sylfaen" w:hAnsi="Sylfaen" w:cstheme="minorHAnsi"/>
          <w:lang w:val="ka-GE"/>
        </w:rPr>
        <w:t xml:space="preserve"> წლის </w:t>
      </w:r>
      <w:r w:rsidR="0050712A" w:rsidRPr="000A62E9">
        <w:rPr>
          <w:rFonts w:ascii="Sylfaen" w:hAnsi="Sylfaen" w:cstheme="minorHAnsi"/>
          <w:szCs w:val="18"/>
          <w:shd w:val="clear" w:color="auto" w:fill="FFFFFF"/>
        </w:rPr>
        <w:t>30</w:t>
      </w:r>
      <w:r w:rsidR="007F3E85" w:rsidRPr="000A62E9">
        <w:rPr>
          <w:rFonts w:ascii="Sylfaen" w:hAnsi="Sylfaen" w:cstheme="minorHAnsi"/>
          <w:szCs w:val="18"/>
          <w:shd w:val="clear" w:color="auto" w:fill="FFFFFF"/>
          <w:lang w:val="ka-GE"/>
        </w:rPr>
        <w:t xml:space="preserve"> </w:t>
      </w:r>
      <w:r w:rsidR="00CD702B" w:rsidRPr="000A62E9">
        <w:rPr>
          <w:rFonts w:ascii="Sylfaen" w:hAnsi="Sylfaen" w:cstheme="minorHAnsi"/>
          <w:szCs w:val="18"/>
          <w:shd w:val="clear" w:color="auto" w:fill="FFFFFF"/>
          <w:lang w:val="ka-GE"/>
        </w:rPr>
        <w:t>სექტემბრის</w:t>
      </w:r>
      <w:r w:rsidR="007F3E85" w:rsidRPr="000A62E9">
        <w:rPr>
          <w:rFonts w:ascii="Sylfaen" w:hAnsi="Sylfaen" w:cstheme="minorHAnsi"/>
          <w:szCs w:val="18"/>
          <w:shd w:val="clear" w:color="auto" w:fill="FFFFFF"/>
          <w:lang w:val="ka-GE"/>
        </w:rPr>
        <w:t xml:space="preserve"> </w:t>
      </w:r>
      <w:r w:rsidR="00396821" w:rsidRPr="000A62E9">
        <w:rPr>
          <w:rFonts w:ascii="Sylfaen" w:hAnsi="Sylfaen" w:cstheme="minorHAnsi"/>
          <w:lang w:val="ka-GE"/>
        </w:rPr>
        <w:t xml:space="preserve">მდგომარეობით, სახაზინო ვალდებულებების და სახაზინო ობლიგაციების გამოშვების შედეგად ბიუჯეტში შემოსულმა </w:t>
      </w:r>
      <w:r w:rsidR="00396821"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თანხამ </w:t>
      </w:r>
      <w:r w:rsidR="00396821" w:rsidRPr="000A62E9">
        <w:rPr>
          <w:rFonts w:ascii="Sylfaen" w:hAnsi="Sylfaen" w:cstheme="minorHAnsi"/>
          <w:lang w:val="ka-GE"/>
        </w:rPr>
        <w:t xml:space="preserve">შეადგინა </w:t>
      </w:r>
      <w:r w:rsidR="00CD702B" w:rsidRPr="000A62E9">
        <w:rPr>
          <w:rFonts w:ascii="Sylfaen" w:hAnsi="Sylfaen" w:cstheme="minorHAnsi"/>
          <w:lang w:val="ka-GE"/>
        </w:rPr>
        <w:t>2</w:t>
      </w:r>
      <w:r w:rsidR="0050712A" w:rsidRPr="000A62E9">
        <w:rPr>
          <w:rFonts w:ascii="Sylfaen" w:hAnsi="Sylfaen" w:cstheme="minorHAnsi"/>
          <w:lang w:val="ka-GE"/>
        </w:rPr>
        <w:t xml:space="preserve"> </w:t>
      </w:r>
      <w:r w:rsidR="00CD702B" w:rsidRPr="000A62E9">
        <w:rPr>
          <w:rFonts w:ascii="Sylfaen" w:hAnsi="Sylfaen" w:cstheme="minorHAnsi"/>
          <w:lang w:val="ka-GE"/>
        </w:rPr>
        <w:t>331</w:t>
      </w:r>
      <w:r w:rsidR="00EB435F" w:rsidRPr="000A62E9">
        <w:rPr>
          <w:rFonts w:ascii="Sylfaen" w:hAnsi="Sylfaen" w:cstheme="minorHAnsi"/>
          <w:lang w:val="ka-GE"/>
        </w:rPr>
        <w:t xml:space="preserve"> </w:t>
      </w:r>
      <w:r w:rsidR="00CD702B" w:rsidRPr="000A62E9">
        <w:rPr>
          <w:rFonts w:ascii="Sylfaen" w:hAnsi="Sylfaen" w:cstheme="minorHAnsi"/>
          <w:lang w:val="ka-GE"/>
        </w:rPr>
        <w:t>251</w:t>
      </w:r>
      <w:r w:rsidR="00EB435F" w:rsidRPr="000A62E9">
        <w:rPr>
          <w:rFonts w:ascii="Sylfaen" w:hAnsi="Sylfaen" w:cstheme="minorHAnsi"/>
          <w:lang w:val="ka-GE"/>
        </w:rPr>
        <w:t>.</w:t>
      </w:r>
      <w:r w:rsidR="00CD702B" w:rsidRPr="000A62E9">
        <w:rPr>
          <w:rFonts w:ascii="Sylfaen" w:hAnsi="Sylfaen" w:cstheme="minorHAnsi"/>
          <w:lang w:val="ka-GE"/>
        </w:rPr>
        <w:t>6</w:t>
      </w:r>
      <w:r w:rsidR="00EB435F" w:rsidRPr="000A62E9">
        <w:rPr>
          <w:rFonts w:ascii="Sylfaen" w:hAnsi="Sylfaen" w:cstheme="minorHAnsi"/>
          <w:lang w:val="ka-GE"/>
        </w:rPr>
        <w:t xml:space="preserve"> </w:t>
      </w:r>
      <w:r w:rsidR="00396821" w:rsidRPr="000A62E9">
        <w:rPr>
          <w:rFonts w:ascii="Sylfaen" w:hAnsi="Sylfaen" w:cstheme="minorHAnsi"/>
          <w:lang w:val="ka-GE"/>
        </w:rPr>
        <w:t xml:space="preserve">ათასი ლარი, ძირითადი თანხის დაფარვამ კი </w:t>
      </w:r>
      <w:r w:rsidR="00CD702B" w:rsidRPr="000A62E9">
        <w:rPr>
          <w:rFonts w:ascii="Sylfaen" w:hAnsi="Sylfaen" w:cstheme="minorHAnsi"/>
        </w:rPr>
        <w:t>1 339 390.0</w:t>
      </w:r>
      <w:r w:rsidR="00CD702B" w:rsidRPr="000A62E9">
        <w:rPr>
          <w:rFonts w:ascii="Sylfaen" w:hAnsi="Sylfaen" w:cstheme="minorHAnsi"/>
          <w:lang w:val="ka-GE"/>
        </w:rPr>
        <w:t xml:space="preserve"> </w:t>
      </w:r>
      <w:r w:rsidR="00396821" w:rsidRPr="000A62E9">
        <w:rPr>
          <w:rFonts w:ascii="Sylfaen" w:hAnsi="Sylfaen" w:cstheme="minorHAnsi"/>
          <w:lang w:val="ka-GE"/>
        </w:rPr>
        <w:t>ათასი ლარი. შესაბამისად</w:t>
      </w:r>
      <w:r w:rsidR="00396821" w:rsidRPr="000A62E9">
        <w:rPr>
          <w:rFonts w:ascii="Sylfaen" w:hAnsi="Sylfaen" w:cstheme="minorHAnsi"/>
        </w:rPr>
        <w:t>,</w:t>
      </w:r>
      <w:r w:rsidR="00396821" w:rsidRPr="000A62E9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ვალდებულებების </w:t>
      </w:r>
      <w:r w:rsidR="00562F9C" w:rsidRPr="000A62E9">
        <w:rPr>
          <w:rFonts w:ascii="Sylfaen" w:hAnsi="Sylfaen" w:cstheme="minorHAnsi"/>
          <w:lang w:val="ka-GE"/>
        </w:rPr>
        <w:t>ზრდა</w:t>
      </w:r>
      <w:r w:rsidR="000A62E9">
        <w:rPr>
          <w:rFonts w:ascii="Sylfaen" w:hAnsi="Sylfaen" w:cstheme="minorHAnsi"/>
        </w:rPr>
        <w:t xml:space="preserve">       </w:t>
      </w:r>
      <w:r w:rsidR="00396821" w:rsidRPr="000A62E9">
        <w:rPr>
          <w:rFonts w:ascii="Sylfaen" w:hAnsi="Sylfaen" w:cstheme="minorHAnsi"/>
          <w:lang w:val="ka-GE"/>
        </w:rPr>
        <w:t xml:space="preserve"> </w:t>
      </w:r>
      <w:r w:rsidR="00CD702B" w:rsidRPr="000A62E9">
        <w:rPr>
          <w:rFonts w:ascii="Sylfaen" w:hAnsi="Sylfaen" w:cstheme="minorHAnsi"/>
        </w:rPr>
        <w:t>991 861.7</w:t>
      </w:r>
      <w:r w:rsidR="00EB435F" w:rsidRPr="000A62E9">
        <w:rPr>
          <w:rFonts w:ascii="Sylfaen" w:hAnsi="Sylfaen" w:cstheme="minorHAnsi"/>
          <w:lang w:val="ka-GE"/>
        </w:rPr>
        <w:t xml:space="preserve"> </w:t>
      </w:r>
      <w:r w:rsidR="00396821" w:rsidRPr="000A62E9">
        <w:rPr>
          <w:rFonts w:ascii="Sylfaen" w:hAnsi="Sylfaen" w:cstheme="minorHAnsi"/>
          <w:lang w:val="ka-GE"/>
        </w:rPr>
        <w:t>ათასი ლარით განისაზღვრა.</w:t>
      </w:r>
    </w:p>
    <w:p w:rsidR="006A4106" w:rsidRPr="000A62E9" w:rsidRDefault="006A4106" w:rsidP="008664C6">
      <w:pPr>
        <w:spacing w:after="0"/>
        <w:ind w:firstLine="709"/>
        <w:jc w:val="both"/>
        <w:rPr>
          <w:rFonts w:ascii="Sylfaen" w:hAnsi="Sylfaen" w:cstheme="minorHAnsi"/>
          <w:lang w:val="ka-GE"/>
        </w:rPr>
      </w:pPr>
      <w:r w:rsidRPr="000A62E9">
        <w:rPr>
          <w:rFonts w:ascii="Sylfaen" w:hAnsi="Sylfaen" w:cstheme="minorHAnsi"/>
          <w:lang w:val="ka-GE"/>
        </w:rPr>
        <w:t>2023 წლის</w:t>
      </w:r>
      <w:r w:rsidR="00CD702B" w:rsidRPr="000A62E9">
        <w:rPr>
          <w:rFonts w:ascii="Sylfaen" w:hAnsi="Sylfaen" w:cstheme="minorHAnsi"/>
          <w:lang w:val="ka-GE"/>
        </w:rPr>
        <w:t xml:space="preserve"> 3</w:t>
      </w:r>
      <w:r w:rsidRPr="000A62E9">
        <w:rPr>
          <w:rFonts w:ascii="Sylfaen" w:hAnsi="Sylfaen" w:cstheme="minorHAnsi"/>
          <w:lang w:val="ka-GE"/>
        </w:rPr>
        <w:t xml:space="preserve"> კვარტლის განმავლობაში, საშინაო ვალდებულებების მომსახურების და დაფარვისთვის სახელმწიფო ბიუჯეტიდან გაწეულმა ხარჯმა შეადგინა </w:t>
      </w:r>
      <w:r w:rsidR="00CD702B" w:rsidRPr="000A62E9">
        <w:rPr>
          <w:rFonts w:ascii="Sylfaen" w:hAnsi="Sylfaen" w:cstheme="minorHAnsi"/>
        </w:rPr>
        <w:t>574 302</w:t>
      </w:r>
      <w:r w:rsidRPr="000A62E9">
        <w:rPr>
          <w:rFonts w:ascii="Sylfaen" w:hAnsi="Sylfaen" w:cstheme="minorHAnsi"/>
          <w:lang w:val="ka-GE"/>
        </w:rPr>
        <w:t>.</w:t>
      </w:r>
      <w:r w:rsidR="00CD702B" w:rsidRPr="000A62E9">
        <w:rPr>
          <w:rFonts w:ascii="Sylfaen" w:hAnsi="Sylfaen" w:cstheme="minorHAnsi"/>
        </w:rPr>
        <w:t>0</w:t>
      </w:r>
      <w:r w:rsidRPr="000A62E9">
        <w:rPr>
          <w:rFonts w:ascii="Sylfaen" w:hAnsi="Sylfaen" w:cstheme="minorHAnsi"/>
          <w:lang w:val="ka-GE"/>
        </w:rPr>
        <w:t xml:space="preserve"> ათასი ლარი. მათ შორის:</w:t>
      </w:r>
    </w:p>
    <w:p w:rsidR="006A4106" w:rsidRPr="000A62E9" w:rsidRDefault="006A4106" w:rsidP="008664C6">
      <w:pPr>
        <w:pStyle w:val="ListParagraph"/>
        <w:numPr>
          <w:ilvl w:val="0"/>
          <w:numId w:val="13"/>
        </w:numPr>
        <w:spacing w:before="240" w:after="0" w:line="240" w:lineRule="auto"/>
        <w:ind w:left="709" w:hanging="349"/>
        <w:rPr>
          <w:rFonts w:ascii="Sylfaen" w:hAnsi="Sylfaen" w:cstheme="minorHAnsi"/>
          <w:lang w:val="ka-GE"/>
        </w:rPr>
      </w:pPr>
      <w:r w:rsidRPr="000A62E9">
        <w:rPr>
          <w:rFonts w:ascii="Sylfaen" w:hAnsi="Sylfaen" w:cstheme="minorHAnsi"/>
          <w:lang w:val="ka-GE"/>
        </w:rPr>
        <w:t>„ობლიგაციები ღია ბაზრისთვის“  ძირითადი თანხის დაფარვა</w:t>
      </w:r>
      <w:r w:rsidR="00CD702B" w:rsidRPr="000A62E9">
        <w:rPr>
          <w:rFonts w:ascii="Sylfaen" w:hAnsi="Sylfaen" w:cstheme="minorHAnsi"/>
          <w:lang w:val="ka-GE"/>
        </w:rPr>
        <w:t xml:space="preserve">   - 32 </w:t>
      </w:r>
      <w:r w:rsidRPr="000A62E9">
        <w:rPr>
          <w:rFonts w:ascii="Sylfaen" w:hAnsi="Sylfaen" w:cstheme="minorHAnsi"/>
          <w:lang w:val="ka-GE"/>
        </w:rPr>
        <w:t>000.0 ათასი ლარი;</w:t>
      </w:r>
    </w:p>
    <w:p w:rsidR="006A4106" w:rsidRPr="000A62E9" w:rsidRDefault="006A4106" w:rsidP="008664C6">
      <w:pPr>
        <w:pStyle w:val="ListParagraph"/>
        <w:numPr>
          <w:ilvl w:val="0"/>
          <w:numId w:val="13"/>
        </w:numPr>
        <w:spacing w:before="240" w:after="0" w:line="240" w:lineRule="auto"/>
        <w:rPr>
          <w:rFonts w:ascii="Sylfaen" w:hAnsi="Sylfaen" w:cstheme="minorHAnsi"/>
          <w:lang w:val="ka-GE"/>
        </w:rPr>
      </w:pPr>
      <w:r w:rsidRPr="000A62E9">
        <w:rPr>
          <w:rFonts w:ascii="Sylfaen" w:hAnsi="Sylfaen" w:cstheme="minorHAnsi"/>
          <w:lang w:val="ka-GE"/>
        </w:rPr>
        <w:t>„ობლიგაციები ღია ბაზრისთვის“ მომსახურება</w:t>
      </w:r>
      <w:r w:rsidR="00CD702B" w:rsidRPr="000A62E9">
        <w:rPr>
          <w:rFonts w:ascii="Sylfaen" w:hAnsi="Sylfaen" w:cstheme="minorHAnsi"/>
          <w:lang w:val="ka-GE"/>
        </w:rPr>
        <w:t xml:space="preserve"> - 11</w:t>
      </w:r>
      <w:r w:rsidR="00CD702B" w:rsidRPr="000A62E9">
        <w:rPr>
          <w:rFonts w:ascii="Sylfaen" w:hAnsi="Sylfaen" w:cstheme="minorHAnsi"/>
        </w:rPr>
        <w:t xml:space="preserve"> 045</w:t>
      </w:r>
      <w:r w:rsidR="00CD702B" w:rsidRPr="000A62E9">
        <w:rPr>
          <w:rFonts w:ascii="Sylfaen" w:hAnsi="Sylfaen" w:cstheme="minorHAnsi"/>
          <w:lang w:val="ka-GE"/>
        </w:rPr>
        <w:t>.6</w:t>
      </w:r>
      <w:r w:rsidRPr="000A62E9">
        <w:rPr>
          <w:rFonts w:ascii="Sylfaen" w:hAnsi="Sylfaen" w:cstheme="minorHAnsi"/>
          <w:lang w:val="ka-GE"/>
        </w:rPr>
        <w:t xml:space="preserve"> ათასი ლარი;</w:t>
      </w:r>
    </w:p>
    <w:p w:rsidR="006A4106" w:rsidRPr="000A62E9" w:rsidRDefault="006A4106" w:rsidP="008664C6">
      <w:pPr>
        <w:pStyle w:val="ListParagraph"/>
        <w:numPr>
          <w:ilvl w:val="0"/>
          <w:numId w:val="13"/>
        </w:numPr>
        <w:spacing w:before="240" w:after="0" w:line="240" w:lineRule="auto"/>
        <w:rPr>
          <w:rFonts w:ascii="Sylfaen" w:hAnsi="Sylfaen" w:cstheme="minorHAnsi"/>
          <w:lang w:val="ka-GE"/>
        </w:rPr>
      </w:pPr>
      <w:r w:rsidRPr="000A62E9">
        <w:rPr>
          <w:rFonts w:ascii="Sylfaen" w:hAnsi="Sylfaen" w:cstheme="minorHAnsi"/>
          <w:lang w:val="ka-GE"/>
        </w:rPr>
        <w:t xml:space="preserve">„ობლიგაცია სებ-ისთვის“ მომსახურება - </w:t>
      </w:r>
      <w:r w:rsidR="00CD702B" w:rsidRPr="000A62E9">
        <w:rPr>
          <w:rFonts w:ascii="Sylfaen" w:hAnsi="Sylfaen" w:cstheme="minorHAnsi"/>
        </w:rPr>
        <w:t>6</w:t>
      </w:r>
      <w:r w:rsidR="00CD702B" w:rsidRPr="000A62E9">
        <w:rPr>
          <w:rFonts w:ascii="Sylfaen" w:hAnsi="Sylfaen" w:cstheme="minorHAnsi"/>
          <w:lang w:val="ka-GE"/>
        </w:rPr>
        <w:t xml:space="preserve"> </w:t>
      </w:r>
      <w:r w:rsidR="00CD702B" w:rsidRPr="000A62E9">
        <w:rPr>
          <w:rFonts w:ascii="Sylfaen" w:hAnsi="Sylfaen" w:cstheme="minorHAnsi"/>
        </w:rPr>
        <w:t>751</w:t>
      </w:r>
      <w:r w:rsidR="00CD702B" w:rsidRPr="000A62E9">
        <w:rPr>
          <w:rFonts w:ascii="Sylfaen" w:hAnsi="Sylfaen" w:cstheme="minorHAnsi"/>
          <w:lang w:val="ka-GE"/>
        </w:rPr>
        <w:t>.8</w:t>
      </w:r>
      <w:r w:rsidRPr="000A62E9">
        <w:rPr>
          <w:rFonts w:ascii="Sylfaen" w:hAnsi="Sylfaen" w:cstheme="minorHAnsi"/>
          <w:lang w:val="ka-GE"/>
        </w:rPr>
        <w:t xml:space="preserve"> ათასი ლარი;</w:t>
      </w:r>
    </w:p>
    <w:p w:rsidR="006A4106" w:rsidRPr="000A62E9" w:rsidRDefault="006A4106" w:rsidP="008664C6">
      <w:pPr>
        <w:pStyle w:val="ListParagraph"/>
        <w:numPr>
          <w:ilvl w:val="0"/>
          <w:numId w:val="13"/>
        </w:numPr>
        <w:spacing w:before="240" w:after="0" w:line="240" w:lineRule="auto"/>
        <w:rPr>
          <w:rFonts w:ascii="Sylfaen" w:hAnsi="Sylfaen" w:cstheme="minorHAnsi"/>
          <w:lang w:val="ka-GE"/>
        </w:rPr>
      </w:pPr>
      <w:r w:rsidRPr="000A62E9">
        <w:rPr>
          <w:rFonts w:ascii="Sylfaen" w:hAnsi="Sylfaen" w:cstheme="minorHAnsi"/>
          <w:lang w:val="ka-GE"/>
        </w:rPr>
        <w:t xml:space="preserve">სახაზინო ვალდებულებების მომსახურება  -  </w:t>
      </w:r>
      <w:r w:rsidR="00CD702B" w:rsidRPr="000A62E9">
        <w:rPr>
          <w:rFonts w:ascii="Sylfaen" w:hAnsi="Sylfaen" w:cstheme="minorHAnsi"/>
        </w:rPr>
        <w:t>27</w:t>
      </w:r>
      <w:r w:rsidR="00CD702B" w:rsidRPr="000A62E9">
        <w:rPr>
          <w:rFonts w:ascii="Sylfaen" w:hAnsi="Sylfaen" w:cstheme="minorHAnsi"/>
          <w:lang w:val="ka-GE"/>
        </w:rPr>
        <w:t xml:space="preserve"> 404</w:t>
      </w:r>
      <w:r w:rsidRPr="000A62E9">
        <w:rPr>
          <w:rFonts w:ascii="Sylfaen" w:hAnsi="Sylfaen" w:cstheme="minorHAnsi"/>
          <w:lang w:val="ka-GE"/>
        </w:rPr>
        <w:t>.</w:t>
      </w:r>
      <w:r w:rsidR="00CD702B" w:rsidRPr="000A62E9">
        <w:rPr>
          <w:rFonts w:ascii="Sylfaen" w:hAnsi="Sylfaen" w:cstheme="minorHAnsi"/>
        </w:rPr>
        <w:t>4</w:t>
      </w:r>
      <w:r w:rsidRPr="000A62E9">
        <w:rPr>
          <w:rFonts w:ascii="Sylfaen" w:hAnsi="Sylfaen" w:cstheme="minorHAnsi"/>
          <w:lang w:val="ka-GE"/>
        </w:rPr>
        <w:t xml:space="preserve"> ათასი  ლარი;</w:t>
      </w:r>
    </w:p>
    <w:p w:rsidR="006A4106" w:rsidRPr="000A62E9" w:rsidRDefault="006A4106" w:rsidP="008664C6">
      <w:pPr>
        <w:pStyle w:val="ListParagraph"/>
        <w:numPr>
          <w:ilvl w:val="0"/>
          <w:numId w:val="13"/>
        </w:numPr>
        <w:spacing w:before="240" w:after="0" w:line="240" w:lineRule="auto"/>
        <w:rPr>
          <w:rFonts w:ascii="Sylfaen" w:hAnsi="Sylfaen" w:cstheme="minorHAnsi"/>
          <w:lang w:val="ka-GE"/>
        </w:rPr>
      </w:pPr>
      <w:r w:rsidRPr="000A62E9">
        <w:rPr>
          <w:rFonts w:ascii="Sylfaen" w:hAnsi="Sylfaen" w:cstheme="minorHAnsi"/>
          <w:lang w:val="ka-GE"/>
        </w:rPr>
        <w:t xml:space="preserve">სახაზინო ობლიგაციების მომსახურება  - </w:t>
      </w:r>
      <w:r w:rsidR="00CD702B" w:rsidRPr="000A62E9">
        <w:rPr>
          <w:rFonts w:ascii="Sylfaen" w:hAnsi="Sylfaen" w:cstheme="minorHAnsi"/>
        </w:rPr>
        <w:t>497 100</w:t>
      </w:r>
      <w:r w:rsidRPr="000A62E9">
        <w:rPr>
          <w:rFonts w:ascii="Sylfaen" w:hAnsi="Sylfaen" w:cstheme="minorHAnsi"/>
          <w:lang w:val="ka-GE"/>
        </w:rPr>
        <w:t>.</w:t>
      </w:r>
      <w:r w:rsidR="00CD702B" w:rsidRPr="000A62E9">
        <w:rPr>
          <w:rFonts w:ascii="Sylfaen" w:hAnsi="Sylfaen" w:cstheme="minorHAnsi"/>
        </w:rPr>
        <w:t>2</w:t>
      </w:r>
      <w:r w:rsidRPr="000A62E9">
        <w:rPr>
          <w:rFonts w:ascii="Sylfaen" w:hAnsi="Sylfaen" w:cstheme="minorHAnsi"/>
          <w:lang w:val="ka-GE"/>
        </w:rPr>
        <w:t xml:space="preserve"> ათასი  ლარი.</w:t>
      </w:r>
    </w:p>
    <w:p w:rsidR="007A54D3" w:rsidRPr="000A62E9" w:rsidRDefault="007A54D3" w:rsidP="00B30BCE">
      <w:pPr>
        <w:spacing w:line="240" w:lineRule="auto"/>
        <w:jc w:val="center"/>
        <w:rPr>
          <w:rFonts w:ascii="Sylfaen" w:hAnsi="Sylfaen" w:cstheme="minorHAnsi"/>
          <w:sz w:val="10"/>
          <w:szCs w:val="10"/>
          <w:lang w:val="ka-GE"/>
        </w:rPr>
      </w:pPr>
    </w:p>
    <w:p w:rsidR="00FD19A9" w:rsidRPr="000A62E9" w:rsidRDefault="00FD19A9" w:rsidP="00B30BCE">
      <w:pPr>
        <w:spacing w:line="240" w:lineRule="auto"/>
        <w:jc w:val="center"/>
        <w:rPr>
          <w:rFonts w:ascii="Sylfaen" w:hAnsi="Sylfaen" w:cstheme="minorHAnsi"/>
          <w:sz w:val="10"/>
          <w:szCs w:val="10"/>
          <w:lang w:val="ka-GE"/>
        </w:rPr>
      </w:pPr>
    </w:p>
    <w:p w:rsidR="00F6697A" w:rsidRPr="000A62E9" w:rsidRDefault="0075480C" w:rsidP="00B30BCE">
      <w:pPr>
        <w:spacing w:line="240" w:lineRule="auto"/>
        <w:jc w:val="center"/>
        <w:rPr>
          <w:rFonts w:ascii="Sylfaen" w:hAnsi="Sylfaen" w:cstheme="minorHAnsi"/>
          <w:b/>
          <w:szCs w:val="18"/>
          <w:shd w:val="clear" w:color="auto" w:fill="FFFFFF"/>
          <w:lang w:val="ka-GE"/>
        </w:rPr>
      </w:pPr>
      <w:r w:rsidRPr="000A62E9">
        <w:rPr>
          <w:rFonts w:ascii="Sylfaen" w:hAnsi="Sylfaen" w:cstheme="minorHAnsi"/>
          <w:b/>
          <w:szCs w:val="18"/>
          <w:shd w:val="clear" w:color="auto" w:fill="FFFFFF"/>
          <w:lang w:val="ka-GE"/>
        </w:rPr>
        <w:t>მთავრობის</w:t>
      </w:r>
      <w:r w:rsidR="000340AB" w:rsidRPr="000A62E9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ვალის </w:t>
      </w:r>
      <w:r w:rsidR="0032795B" w:rsidRPr="000A62E9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ნაშთი </w:t>
      </w:r>
      <w:r w:rsidR="00B4541C" w:rsidRPr="000A62E9">
        <w:rPr>
          <w:rFonts w:ascii="Sylfaen" w:hAnsi="Sylfaen" w:cstheme="minorHAnsi"/>
          <w:b/>
          <w:szCs w:val="18"/>
          <w:shd w:val="clear" w:color="auto" w:fill="FFFFFF"/>
          <w:lang w:val="ka-GE"/>
        </w:rPr>
        <w:t>202</w:t>
      </w:r>
      <w:r w:rsidR="00430968" w:rsidRPr="000A62E9">
        <w:rPr>
          <w:rFonts w:ascii="Sylfaen" w:hAnsi="Sylfaen" w:cstheme="minorHAnsi"/>
          <w:b/>
          <w:szCs w:val="18"/>
          <w:shd w:val="clear" w:color="auto" w:fill="FFFFFF"/>
          <w:lang w:val="ka-GE"/>
        </w:rPr>
        <w:t>3</w:t>
      </w:r>
      <w:r w:rsidR="001A397F" w:rsidRPr="000A62E9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0340AB" w:rsidRPr="000A62E9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წლის </w:t>
      </w:r>
      <w:r w:rsidR="006A4106" w:rsidRPr="000A62E9">
        <w:rPr>
          <w:rFonts w:ascii="Sylfaen" w:hAnsi="Sylfaen" w:cstheme="minorHAnsi"/>
          <w:b/>
          <w:szCs w:val="18"/>
          <w:shd w:val="clear" w:color="auto" w:fill="FFFFFF"/>
        </w:rPr>
        <w:t>30</w:t>
      </w:r>
      <w:r w:rsidR="00FA187E" w:rsidRPr="000A62E9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CD702B" w:rsidRPr="000A62E9">
        <w:rPr>
          <w:rFonts w:ascii="Sylfaen" w:hAnsi="Sylfaen" w:cstheme="minorHAnsi"/>
          <w:b/>
          <w:szCs w:val="18"/>
          <w:shd w:val="clear" w:color="auto" w:fill="FFFFFF"/>
          <w:lang w:val="ka-GE"/>
        </w:rPr>
        <w:t>სექტემბრის</w:t>
      </w:r>
      <w:r w:rsidR="005043A4" w:rsidRPr="000A62E9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0340AB" w:rsidRPr="000A62E9">
        <w:rPr>
          <w:rFonts w:ascii="Sylfaen" w:hAnsi="Sylfaen" w:cstheme="minorHAnsi"/>
          <w:b/>
          <w:szCs w:val="18"/>
          <w:shd w:val="clear" w:color="auto" w:fill="FFFFFF"/>
          <w:lang w:val="ka-GE"/>
        </w:rPr>
        <w:t>მდგომარეობით</w:t>
      </w:r>
    </w:p>
    <w:p w:rsidR="00FB7087" w:rsidRPr="000A62E9" w:rsidRDefault="00324800" w:rsidP="00CD702B">
      <w:pPr>
        <w:spacing w:after="0" w:line="240" w:lineRule="auto"/>
        <w:ind w:left="7200" w:right="63" w:firstLine="720"/>
        <w:jc w:val="right"/>
        <w:rPr>
          <w:rFonts w:ascii="Sylfaen" w:hAnsi="Sylfaen" w:cstheme="minorHAnsi"/>
          <w:b/>
          <w:i/>
          <w:noProof/>
          <w:color w:val="000000"/>
          <w:sz w:val="18"/>
          <w:szCs w:val="18"/>
          <w:lang w:val="ka-GE"/>
        </w:rPr>
      </w:pPr>
      <w:r w:rsidRPr="000A62E9">
        <w:rPr>
          <w:rFonts w:ascii="Sylfaen" w:hAnsi="Sylfaen" w:cstheme="minorHAnsi"/>
          <w:b/>
          <w:i/>
          <w:noProof/>
          <w:color w:val="000000"/>
          <w:sz w:val="18"/>
          <w:szCs w:val="18"/>
          <w:lang w:val="ka-GE"/>
        </w:rPr>
        <w:t xml:space="preserve">      </w:t>
      </w:r>
      <w:r w:rsidR="006A4106" w:rsidRPr="000A62E9">
        <w:rPr>
          <w:rFonts w:ascii="Sylfaen" w:hAnsi="Sylfaen" w:cstheme="minorHAnsi"/>
          <w:b/>
          <w:i/>
          <w:noProof/>
          <w:color w:val="000000"/>
          <w:sz w:val="18"/>
          <w:szCs w:val="18"/>
          <w:lang w:val="ka-GE"/>
        </w:rPr>
        <w:t xml:space="preserve">  </w:t>
      </w:r>
      <w:r w:rsidRPr="000A62E9">
        <w:rPr>
          <w:rFonts w:ascii="Sylfaen" w:hAnsi="Sylfaen" w:cstheme="minorHAnsi"/>
          <w:b/>
          <w:i/>
          <w:noProof/>
          <w:color w:val="000000"/>
          <w:sz w:val="18"/>
          <w:szCs w:val="18"/>
          <w:lang w:val="ka-GE"/>
        </w:rPr>
        <w:t xml:space="preserve">  </w:t>
      </w:r>
      <w:r w:rsidR="004150CD" w:rsidRPr="000A62E9">
        <w:rPr>
          <w:rFonts w:ascii="Sylfaen" w:hAnsi="Sylfaen" w:cstheme="minorHAnsi"/>
          <w:b/>
          <w:i/>
          <w:noProof/>
          <w:color w:val="000000"/>
          <w:sz w:val="18"/>
          <w:szCs w:val="18"/>
          <w:lang w:val="ka-GE"/>
        </w:rPr>
        <w:t>ათასი ლარი</w:t>
      </w:r>
    </w:p>
    <w:p w:rsidR="008A48E5" w:rsidRPr="000A62E9" w:rsidRDefault="008A48E5" w:rsidP="008A48E5">
      <w:pPr>
        <w:spacing w:after="0" w:line="240" w:lineRule="auto"/>
        <w:ind w:left="7200" w:right="994" w:firstLine="720"/>
        <w:jc w:val="right"/>
        <w:rPr>
          <w:rFonts w:ascii="Sylfaen" w:hAnsi="Sylfaen" w:cstheme="minorHAnsi"/>
          <w:b/>
          <w:bCs/>
          <w:i/>
          <w:color w:val="7F7F7F" w:themeColor="text1" w:themeTint="80"/>
          <w:sz w:val="12"/>
          <w:szCs w:val="12"/>
        </w:rPr>
      </w:pPr>
    </w:p>
    <w:tbl>
      <w:tblPr>
        <w:tblW w:w="5149" w:type="pct"/>
        <w:tblLook w:val="04A0" w:firstRow="1" w:lastRow="0" w:firstColumn="1" w:lastColumn="0" w:noHBand="0" w:noVBand="1"/>
      </w:tblPr>
      <w:tblGrid>
        <w:gridCol w:w="6662"/>
        <w:gridCol w:w="3680"/>
      </w:tblGrid>
      <w:tr w:rsidR="00CD702B" w:rsidRPr="000A62E9" w:rsidTr="0070278A">
        <w:trPr>
          <w:trHeight w:val="606"/>
          <w:tblHeader/>
        </w:trPr>
        <w:tc>
          <w:tcPr>
            <w:tcW w:w="322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bookmarkStart w:id="1" w:name="RANGE!C3:D40"/>
            <w:proofErr w:type="spellStart"/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კრედიტორი</w:t>
            </w:r>
            <w:proofErr w:type="spellEnd"/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bookmarkEnd w:id="1"/>
          </w:p>
        </w:tc>
        <w:tc>
          <w:tcPr>
            <w:tcW w:w="1779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30.09.2023</w:t>
            </w:r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მდგომარეობით</w:t>
            </w:r>
            <w:proofErr w:type="spellEnd"/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CD702B" w:rsidRPr="000A62E9" w:rsidTr="0070278A">
        <w:trPr>
          <w:trHeight w:val="416"/>
        </w:trPr>
        <w:tc>
          <w:tcPr>
            <w:tcW w:w="322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მთავრობის</w:t>
            </w:r>
            <w:proofErr w:type="spellEnd"/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საგარეო</w:t>
            </w:r>
            <w:proofErr w:type="spellEnd"/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ვალის</w:t>
            </w:r>
            <w:proofErr w:type="spellEnd"/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21,540,229.8</w:t>
            </w:r>
          </w:p>
        </w:tc>
      </w:tr>
      <w:tr w:rsidR="00CD702B" w:rsidRPr="000A62E9" w:rsidTr="0070278A">
        <w:trPr>
          <w:trHeight w:val="315"/>
        </w:trPr>
        <w:tc>
          <w:tcPr>
            <w:tcW w:w="322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მრავალმხრივი</w:t>
            </w:r>
            <w:proofErr w:type="spellEnd"/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კრედიტორებისაგან</w:t>
            </w:r>
            <w:proofErr w:type="spellEnd"/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16,049,618.3</w:t>
            </w:r>
          </w:p>
        </w:tc>
      </w:tr>
      <w:tr w:rsidR="00CD702B" w:rsidRPr="000A62E9" w:rsidTr="0070278A">
        <w:trPr>
          <w:trHeight w:val="300"/>
        </w:trPr>
        <w:tc>
          <w:tcPr>
            <w:tcW w:w="322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მსოფლიო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ბანკი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 (WB)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5,500,845.4</w:t>
            </w:r>
          </w:p>
        </w:tc>
      </w:tr>
      <w:tr w:rsidR="00CD702B" w:rsidRPr="000A62E9" w:rsidTr="0070278A">
        <w:trPr>
          <w:trHeight w:val="300"/>
        </w:trPr>
        <w:tc>
          <w:tcPr>
            <w:tcW w:w="322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სოფლის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მეურნეობის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ფონდი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(IFAD)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99,415.7</w:t>
            </w:r>
          </w:p>
        </w:tc>
      </w:tr>
      <w:tr w:rsidR="00CD702B" w:rsidRPr="000A62E9" w:rsidTr="0070278A">
        <w:trPr>
          <w:trHeight w:val="300"/>
        </w:trPr>
        <w:tc>
          <w:tcPr>
            <w:tcW w:w="322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სავალუტო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ფონდი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(IMF)  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517,719.4</w:t>
            </w:r>
          </w:p>
        </w:tc>
      </w:tr>
      <w:tr w:rsidR="00CD702B" w:rsidRPr="000A62E9" w:rsidTr="0070278A">
        <w:trPr>
          <w:trHeight w:val="300"/>
        </w:trPr>
        <w:tc>
          <w:tcPr>
            <w:tcW w:w="322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ევროპის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რეკონსტრუქციისა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და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ბანკი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(EBRD)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603,381.1</w:t>
            </w:r>
          </w:p>
        </w:tc>
      </w:tr>
      <w:tr w:rsidR="00CD702B" w:rsidRPr="000A62E9" w:rsidTr="0070278A">
        <w:trPr>
          <w:trHeight w:val="300"/>
        </w:trPr>
        <w:tc>
          <w:tcPr>
            <w:tcW w:w="322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აზიის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ბანკი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(ADB)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5,745,206.9</w:t>
            </w:r>
          </w:p>
        </w:tc>
      </w:tr>
      <w:tr w:rsidR="00CD702B" w:rsidRPr="000A62E9" w:rsidTr="0070278A">
        <w:trPr>
          <w:trHeight w:val="300"/>
        </w:trPr>
        <w:tc>
          <w:tcPr>
            <w:tcW w:w="322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ევროპის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საინვესტიციო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ბანკი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 (EIB)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2,612,873.3</w:t>
            </w:r>
          </w:p>
        </w:tc>
      </w:tr>
      <w:tr w:rsidR="00CD702B" w:rsidRPr="000A62E9" w:rsidTr="0070278A">
        <w:trPr>
          <w:trHeight w:val="300"/>
        </w:trPr>
        <w:tc>
          <w:tcPr>
            <w:tcW w:w="322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lastRenderedPageBreak/>
              <w:t>ევროგაერთიანება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(EU)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378,012.6</w:t>
            </w:r>
          </w:p>
        </w:tc>
      </w:tr>
      <w:tr w:rsidR="00CD702B" w:rsidRPr="000A62E9" w:rsidTr="0070278A">
        <w:trPr>
          <w:trHeight w:val="300"/>
        </w:trPr>
        <w:tc>
          <w:tcPr>
            <w:tcW w:w="322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აზიის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საინვესტიციო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ბანკი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(AIIB)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554,049.9</w:t>
            </w:r>
          </w:p>
        </w:tc>
      </w:tr>
      <w:tr w:rsidR="00CD702B" w:rsidRPr="000A62E9" w:rsidTr="0070278A">
        <w:trPr>
          <w:trHeight w:val="300"/>
        </w:trPr>
        <w:tc>
          <w:tcPr>
            <w:tcW w:w="322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ევროსაბჭოს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ბანკი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(CEB)  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33,231.7</w:t>
            </w:r>
          </w:p>
        </w:tc>
      </w:tr>
      <w:tr w:rsidR="00CD702B" w:rsidRPr="000A62E9" w:rsidTr="0070278A">
        <w:trPr>
          <w:trHeight w:val="300"/>
        </w:trPr>
        <w:tc>
          <w:tcPr>
            <w:tcW w:w="322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სკანდინავიური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გარემოსდაცვის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საფინანსო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კორპორაცია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(NEFCO)  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4,882.2</w:t>
            </w:r>
          </w:p>
        </w:tc>
      </w:tr>
      <w:tr w:rsidR="00CD702B" w:rsidRPr="000A62E9" w:rsidTr="0070278A">
        <w:trPr>
          <w:trHeight w:val="315"/>
        </w:trPr>
        <w:tc>
          <w:tcPr>
            <w:tcW w:w="322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ორმხრივი</w:t>
            </w:r>
            <w:proofErr w:type="spellEnd"/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კრედიტორებისაგან</w:t>
            </w:r>
            <w:proofErr w:type="spellEnd"/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4,151,461.5</w:t>
            </w:r>
          </w:p>
        </w:tc>
      </w:tr>
      <w:tr w:rsidR="00CD702B" w:rsidRPr="000A62E9" w:rsidTr="0070278A">
        <w:trPr>
          <w:trHeight w:val="300"/>
        </w:trPr>
        <w:tc>
          <w:tcPr>
            <w:tcW w:w="322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ავსტრია</w:t>
            </w:r>
            <w:proofErr w:type="spellEnd"/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35,480.3</w:t>
            </w:r>
          </w:p>
        </w:tc>
      </w:tr>
      <w:tr w:rsidR="00CD702B" w:rsidRPr="000A62E9" w:rsidTr="0070278A">
        <w:trPr>
          <w:trHeight w:val="300"/>
        </w:trPr>
        <w:tc>
          <w:tcPr>
            <w:tcW w:w="322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აზერბაიჯანი</w:t>
            </w:r>
            <w:proofErr w:type="spellEnd"/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5,972.1</w:t>
            </w:r>
          </w:p>
        </w:tc>
      </w:tr>
      <w:tr w:rsidR="00CD702B" w:rsidRPr="000A62E9" w:rsidTr="0070278A">
        <w:trPr>
          <w:trHeight w:val="300"/>
        </w:trPr>
        <w:tc>
          <w:tcPr>
            <w:tcW w:w="322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თურქმენეთი</w:t>
            </w:r>
            <w:proofErr w:type="spellEnd"/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565.3</w:t>
            </w:r>
          </w:p>
        </w:tc>
      </w:tr>
      <w:tr w:rsidR="00CD702B" w:rsidRPr="000A62E9" w:rsidTr="0070278A">
        <w:trPr>
          <w:trHeight w:val="300"/>
        </w:trPr>
        <w:tc>
          <w:tcPr>
            <w:tcW w:w="322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თურქეთი</w:t>
            </w:r>
            <w:proofErr w:type="spellEnd"/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11,628.7</w:t>
            </w:r>
          </w:p>
        </w:tc>
      </w:tr>
      <w:tr w:rsidR="00CD702B" w:rsidRPr="000A62E9" w:rsidTr="0070278A">
        <w:trPr>
          <w:trHeight w:val="300"/>
        </w:trPr>
        <w:tc>
          <w:tcPr>
            <w:tcW w:w="322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ირანი</w:t>
            </w:r>
            <w:proofErr w:type="spellEnd"/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4,356.1</w:t>
            </w:r>
          </w:p>
        </w:tc>
      </w:tr>
      <w:tr w:rsidR="00CD702B" w:rsidRPr="000A62E9" w:rsidTr="0070278A">
        <w:trPr>
          <w:trHeight w:val="300"/>
        </w:trPr>
        <w:tc>
          <w:tcPr>
            <w:tcW w:w="322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რუსეთი</w:t>
            </w:r>
            <w:proofErr w:type="spellEnd"/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40,820.9</w:t>
            </w:r>
          </w:p>
        </w:tc>
      </w:tr>
      <w:tr w:rsidR="00CD702B" w:rsidRPr="000A62E9" w:rsidTr="0070278A">
        <w:trPr>
          <w:trHeight w:val="300"/>
        </w:trPr>
        <w:tc>
          <w:tcPr>
            <w:tcW w:w="322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სომხეთი</w:t>
            </w:r>
            <w:proofErr w:type="spellEnd"/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5,268.1</w:t>
            </w:r>
          </w:p>
        </w:tc>
      </w:tr>
      <w:tr w:rsidR="00CD702B" w:rsidRPr="000A62E9" w:rsidTr="0070278A">
        <w:trPr>
          <w:trHeight w:val="300"/>
        </w:trPr>
        <w:tc>
          <w:tcPr>
            <w:tcW w:w="322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ყაზახეთი</w:t>
            </w:r>
            <w:proofErr w:type="spellEnd"/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6,496.2</w:t>
            </w:r>
          </w:p>
        </w:tc>
      </w:tr>
      <w:tr w:rsidR="00CD702B" w:rsidRPr="000A62E9" w:rsidTr="0070278A">
        <w:trPr>
          <w:trHeight w:val="300"/>
        </w:trPr>
        <w:tc>
          <w:tcPr>
            <w:tcW w:w="322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გერმანია</w:t>
            </w:r>
            <w:proofErr w:type="spellEnd"/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1,646,290.7</w:t>
            </w:r>
          </w:p>
        </w:tc>
      </w:tr>
      <w:tr w:rsidR="00CD702B" w:rsidRPr="000A62E9" w:rsidTr="0070278A">
        <w:trPr>
          <w:trHeight w:val="300"/>
        </w:trPr>
        <w:tc>
          <w:tcPr>
            <w:tcW w:w="322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იაპონია</w:t>
            </w:r>
            <w:proofErr w:type="spellEnd"/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358,206.6</w:t>
            </w:r>
          </w:p>
        </w:tc>
      </w:tr>
      <w:tr w:rsidR="00CD702B" w:rsidRPr="000A62E9" w:rsidTr="0070278A">
        <w:trPr>
          <w:trHeight w:val="300"/>
        </w:trPr>
        <w:tc>
          <w:tcPr>
            <w:tcW w:w="322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ქუვეითი</w:t>
            </w:r>
            <w:proofErr w:type="spellEnd"/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31,883.0</w:t>
            </w:r>
          </w:p>
        </w:tc>
      </w:tr>
      <w:tr w:rsidR="00CD702B" w:rsidRPr="000A62E9" w:rsidTr="0070278A">
        <w:trPr>
          <w:trHeight w:val="300"/>
        </w:trPr>
        <w:tc>
          <w:tcPr>
            <w:tcW w:w="322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ნიდერლანდების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სამეფო</w:t>
            </w:r>
            <w:proofErr w:type="spellEnd"/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130.3</w:t>
            </w:r>
          </w:p>
        </w:tc>
      </w:tr>
      <w:tr w:rsidR="00CD702B" w:rsidRPr="000A62E9" w:rsidTr="0070278A">
        <w:trPr>
          <w:trHeight w:val="300"/>
        </w:trPr>
        <w:tc>
          <w:tcPr>
            <w:tcW w:w="322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ამერიკის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შეერთებული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შტატები</w:t>
            </w:r>
            <w:proofErr w:type="spellEnd"/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27,042.0</w:t>
            </w:r>
          </w:p>
        </w:tc>
      </w:tr>
      <w:tr w:rsidR="00CD702B" w:rsidRPr="000A62E9" w:rsidTr="0070278A">
        <w:trPr>
          <w:trHeight w:val="300"/>
        </w:trPr>
        <w:tc>
          <w:tcPr>
            <w:tcW w:w="322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საფრანგეთი</w:t>
            </w:r>
            <w:proofErr w:type="spellEnd"/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1,977,321.2</w:t>
            </w:r>
          </w:p>
        </w:tc>
      </w:tr>
      <w:tr w:rsidR="00CD702B" w:rsidRPr="000A62E9" w:rsidTr="0070278A">
        <w:trPr>
          <w:trHeight w:val="315"/>
        </w:trPr>
        <w:tc>
          <w:tcPr>
            <w:tcW w:w="322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საგარეო</w:t>
            </w:r>
            <w:proofErr w:type="spellEnd"/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1,339,150.0</w:t>
            </w:r>
          </w:p>
        </w:tc>
      </w:tr>
      <w:tr w:rsidR="00CD702B" w:rsidRPr="000A62E9" w:rsidTr="0070278A">
        <w:trPr>
          <w:trHeight w:val="300"/>
        </w:trPr>
        <w:tc>
          <w:tcPr>
            <w:tcW w:w="322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ევრობონდი</w:t>
            </w:r>
            <w:proofErr w:type="spellEnd"/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1,339,150.0</w:t>
            </w:r>
          </w:p>
        </w:tc>
      </w:tr>
      <w:tr w:rsidR="00CD702B" w:rsidRPr="000A62E9" w:rsidTr="0070278A">
        <w:trPr>
          <w:trHeight w:val="315"/>
        </w:trPr>
        <w:tc>
          <w:tcPr>
            <w:tcW w:w="322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მთავრობის</w:t>
            </w:r>
            <w:proofErr w:type="spellEnd"/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საშინაო</w:t>
            </w:r>
            <w:proofErr w:type="spellEnd"/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ვალის</w:t>
            </w:r>
            <w:proofErr w:type="spellEnd"/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8,148,593.7</w:t>
            </w:r>
          </w:p>
        </w:tc>
      </w:tr>
      <w:tr w:rsidR="00CD702B" w:rsidRPr="000A62E9" w:rsidTr="0070278A">
        <w:trPr>
          <w:trHeight w:val="480"/>
        </w:trPr>
        <w:tc>
          <w:tcPr>
            <w:tcW w:w="322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ბანკისთვის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განკუთვნილი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ერთწლიანი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ყოველწლიურად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განახლებადი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ობლიგაცია</w:t>
            </w:r>
            <w:proofErr w:type="spellEnd"/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80,846.0</w:t>
            </w:r>
          </w:p>
        </w:tc>
      </w:tr>
      <w:tr w:rsidR="00CD702B" w:rsidRPr="000A62E9" w:rsidTr="0070278A">
        <w:trPr>
          <w:trHeight w:val="300"/>
        </w:trPr>
        <w:tc>
          <w:tcPr>
            <w:tcW w:w="322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სხვადასხვა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ვადის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ობლიგაციები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ღია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ბაზრის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ოპერაციებისთვის</w:t>
            </w:r>
            <w:proofErr w:type="spellEnd"/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160,000.0</w:t>
            </w:r>
          </w:p>
        </w:tc>
      </w:tr>
      <w:tr w:rsidR="00CD702B" w:rsidRPr="000A62E9" w:rsidTr="0070278A">
        <w:trPr>
          <w:trHeight w:val="300"/>
        </w:trPr>
        <w:tc>
          <w:tcPr>
            <w:tcW w:w="322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ფინანსთა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სამინისტროს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სახაზინო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361,077.1</w:t>
            </w:r>
          </w:p>
        </w:tc>
      </w:tr>
      <w:tr w:rsidR="00CD702B" w:rsidRPr="000A62E9" w:rsidTr="0070278A">
        <w:trPr>
          <w:trHeight w:val="300"/>
        </w:trPr>
        <w:tc>
          <w:tcPr>
            <w:tcW w:w="322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ფინანსთა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სამინისტროს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სახაზინო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ობლიგაციები</w:t>
            </w:r>
            <w:proofErr w:type="spellEnd"/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7,463,078.3</w:t>
            </w:r>
          </w:p>
        </w:tc>
      </w:tr>
      <w:tr w:rsidR="00CD702B" w:rsidRPr="000A62E9" w:rsidTr="0070278A">
        <w:trPr>
          <w:trHeight w:val="300"/>
        </w:trPr>
        <w:tc>
          <w:tcPr>
            <w:tcW w:w="322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საბიუჯეტო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ორგანიზაციების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სესხის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სახით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არსებულ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ვალი</w:t>
            </w:r>
            <w:proofErr w:type="spellEnd"/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83,592.3</w:t>
            </w:r>
          </w:p>
        </w:tc>
      </w:tr>
      <w:tr w:rsidR="00CD702B" w:rsidRPr="000A62E9" w:rsidTr="0070278A">
        <w:trPr>
          <w:trHeight w:val="480"/>
        </w:trPr>
        <w:tc>
          <w:tcPr>
            <w:tcW w:w="322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ind w:firstLineChars="200" w:firstLine="360"/>
              <w:rPr>
                <w:rFonts w:ascii="Sylfaen" w:eastAsia="Times New Roman" w:hAnsi="Sylfae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Times New Roman"/>
                <w:i/>
                <w:iCs/>
                <w:color w:val="000000"/>
                <w:sz w:val="18"/>
                <w:szCs w:val="18"/>
              </w:rPr>
              <w:t>მ.შ</w:t>
            </w:r>
            <w:proofErr w:type="spellEnd"/>
            <w:r w:rsidRPr="000A62E9">
              <w:rPr>
                <w:rFonts w:ascii="Sylfaen" w:eastAsia="Times New Roman" w:hAnsi="Sylfaen" w:cs="Times New Roman"/>
                <w:i/>
                <w:i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A62E9">
              <w:rPr>
                <w:rFonts w:ascii="Sylfaen" w:eastAsia="Times New Roman" w:hAnsi="Sylfaen" w:cs="Times New Roman"/>
                <w:i/>
                <w:iCs/>
                <w:color w:val="000000"/>
                <w:sz w:val="18"/>
                <w:szCs w:val="18"/>
              </w:rPr>
              <w:t>ცენტრალური</w:t>
            </w:r>
            <w:proofErr w:type="spellEnd"/>
            <w:r w:rsidRPr="000A62E9">
              <w:rPr>
                <w:rFonts w:ascii="Sylfaen" w:eastAsia="Times New Roman" w:hAnsi="Sylfae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i/>
                <w:iCs/>
                <w:color w:val="000000"/>
                <w:sz w:val="18"/>
                <w:szCs w:val="18"/>
              </w:rPr>
              <w:t>ხელისუფლების</w:t>
            </w:r>
            <w:proofErr w:type="spellEnd"/>
            <w:r w:rsidRPr="000A62E9">
              <w:rPr>
                <w:rFonts w:ascii="Sylfaen" w:eastAsia="Times New Roman" w:hAnsi="Sylfae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i/>
                <w:iCs/>
                <w:color w:val="000000"/>
                <w:sz w:val="18"/>
                <w:szCs w:val="18"/>
              </w:rPr>
              <w:t>მართვაში</w:t>
            </w:r>
            <w:proofErr w:type="spellEnd"/>
            <w:r w:rsidRPr="000A62E9">
              <w:rPr>
                <w:rFonts w:ascii="Sylfaen" w:eastAsia="Times New Roman" w:hAnsi="Sylfae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i/>
                <w:iCs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0A62E9">
              <w:rPr>
                <w:rFonts w:ascii="Sylfaen" w:eastAsia="Times New Roman" w:hAnsi="Sylfae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i/>
                <w:iCs/>
                <w:color w:val="000000"/>
                <w:sz w:val="18"/>
                <w:szCs w:val="18"/>
              </w:rPr>
              <w:t>სამთავრობო</w:t>
            </w:r>
            <w:proofErr w:type="spellEnd"/>
            <w:r w:rsidRPr="000A62E9">
              <w:rPr>
                <w:rFonts w:ascii="Sylfaen" w:eastAsia="Times New Roman" w:hAnsi="Sylfae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i/>
                <w:iCs/>
                <w:color w:val="000000"/>
                <w:sz w:val="18"/>
                <w:szCs w:val="18"/>
              </w:rPr>
              <w:t>სექტორის</w:t>
            </w:r>
            <w:proofErr w:type="spellEnd"/>
            <w:r w:rsidRPr="000A62E9">
              <w:rPr>
                <w:rFonts w:ascii="Sylfaen" w:eastAsia="Times New Roman" w:hAnsi="Sylfae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i/>
                <w:i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0A62E9">
              <w:rPr>
                <w:rFonts w:ascii="Sylfaen" w:eastAsia="Times New Roman" w:hAnsi="Sylfae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i/>
                <w:iCs/>
                <w:color w:val="000000"/>
                <w:sz w:val="18"/>
                <w:szCs w:val="18"/>
              </w:rPr>
              <w:t>საწარმოები</w:t>
            </w:r>
            <w:proofErr w:type="spellEnd"/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ind w:firstLineChars="800" w:firstLine="1440"/>
              <w:rPr>
                <w:rFonts w:ascii="Sylfaen" w:eastAsia="Times New Roman" w:hAnsi="Sylfaen" w:cs="Times New Roman"/>
                <w:i/>
                <w:i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Times New Roman"/>
                <w:i/>
                <w:iCs/>
                <w:color w:val="000000"/>
                <w:sz w:val="18"/>
                <w:szCs w:val="18"/>
              </w:rPr>
              <w:t xml:space="preserve">                  48,571.1</w:t>
            </w:r>
          </w:p>
        </w:tc>
      </w:tr>
      <w:tr w:rsidR="00CD702B" w:rsidRPr="000A62E9" w:rsidTr="0070278A">
        <w:trPr>
          <w:trHeight w:val="415"/>
        </w:trPr>
        <w:tc>
          <w:tcPr>
            <w:tcW w:w="322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მთავრობის</w:t>
            </w:r>
            <w:proofErr w:type="spellEnd"/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ვალის</w:t>
            </w:r>
            <w:proofErr w:type="spellEnd"/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CD702B" w:rsidRPr="000A62E9" w:rsidRDefault="00CD702B" w:rsidP="00CD702B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0A62E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29,688,823.5</w:t>
            </w:r>
          </w:p>
        </w:tc>
      </w:tr>
    </w:tbl>
    <w:p w:rsidR="008A48E5" w:rsidRPr="000A62E9" w:rsidRDefault="008A48E5" w:rsidP="00B30BCE">
      <w:pPr>
        <w:spacing w:after="0" w:line="240" w:lineRule="auto"/>
        <w:ind w:left="720"/>
        <w:rPr>
          <w:rFonts w:ascii="Sylfaen" w:hAnsi="Sylfaen" w:cstheme="minorHAnsi"/>
          <w:b/>
          <w:bCs/>
          <w:i/>
          <w:color w:val="7F7F7F" w:themeColor="text1" w:themeTint="80"/>
          <w:sz w:val="18"/>
          <w:szCs w:val="18"/>
        </w:rPr>
      </w:pPr>
    </w:p>
    <w:p w:rsidR="00CC4209" w:rsidRPr="000A62E9" w:rsidRDefault="000340AB" w:rsidP="00CC4209">
      <w:pPr>
        <w:spacing w:after="0" w:line="240" w:lineRule="auto"/>
        <w:rPr>
          <w:rFonts w:ascii="Sylfaen" w:hAnsi="Sylfaen" w:cstheme="minorHAnsi"/>
          <w:b/>
          <w:i/>
          <w:sz w:val="16"/>
          <w:szCs w:val="16"/>
        </w:rPr>
      </w:pPr>
      <w:proofErr w:type="spellStart"/>
      <w:r w:rsidRPr="000A62E9">
        <w:rPr>
          <w:rFonts w:ascii="Sylfaen" w:hAnsi="Sylfaen" w:cstheme="minorHAnsi"/>
          <w:b/>
          <w:i/>
          <w:sz w:val="16"/>
          <w:szCs w:val="16"/>
        </w:rPr>
        <w:t>შენიშვნა</w:t>
      </w:r>
      <w:proofErr w:type="spellEnd"/>
      <w:r w:rsidRPr="000A62E9">
        <w:rPr>
          <w:rFonts w:ascii="Sylfaen" w:hAnsi="Sylfaen" w:cstheme="minorHAnsi"/>
          <w:b/>
          <w:i/>
          <w:sz w:val="16"/>
          <w:szCs w:val="16"/>
        </w:rPr>
        <w:t xml:space="preserve">: </w:t>
      </w:r>
    </w:p>
    <w:p w:rsidR="000340AB" w:rsidRPr="000A62E9" w:rsidRDefault="00CC4209" w:rsidP="00CC4209">
      <w:pPr>
        <w:spacing w:after="0" w:line="240" w:lineRule="auto"/>
        <w:rPr>
          <w:rFonts w:ascii="Sylfaen" w:hAnsi="Sylfaen" w:cstheme="minorHAnsi"/>
          <w:i/>
          <w:sz w:val="16"/>
          <w:szCs w:val="16"/>
          <w:lang w:val="ka-GE"/>
        </w:rPr>
      </w:pPr>
      <w:r w:rsidRPr="000A62E9">
        <w:rPr>
          <w:rFonts w:ascii="Sylfaen" w:hAnsi="Sylfaen" w:cstheme="minorHAnsi"/>
          <w:i/>
          <w:sz w:val="16"/>
          <w:szCs w:val="16"/>
          <w:lang w:val="ka-GE"/>
        </w:rPr>
        <w:t xml:space="preserve">    </w:t>
      </w:r>
      <w:proofErr w:type="spellStart"/>
      <w:r w:rsidR="000340AB" w:rsidRPr="000A62E9">
        <w:rPr>
          <w:rFonts w:ascii="Sylfaen" w:hAnsi="Sylfaen" w:cstheme="minorHAnsi"/>
          <w:i/>
          <w:sz w:val="16"/>
          <w:szCs w:val="16"/>
        </w:rPr>
        <w:t>ცხრილში</w:t>
      </w:r>
      <w:proofErr w:type="spellEnd"/>
      <w:r w:rsidR="000340AB" w:rsidRPr="000A62E9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="000340AB" w:rsidRPr="000A62E9">
        <w:rPr>
          <w:rFonts w:ascii="Sylfaen" w:hAnsi="Sylfaen" w:cstheme="minorHAnsi"/>
          <w:i/>
          <w:sz w:val="16"/>
          <w:szCs w:val="16"/>
        </w:rPr>
        <w:t>გამოყენებულია</w:t>
      </w:r>
      <w:proofErr w:type="spellEnd"/>
      <w:r w:rsidR="000340AB" w:rsidRPr="000A62E9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="000340AB" w:rsidRPr="000A62E9">
        <w:rPr>
          <w:rFonts w:ascii="Sylfaen" w:hAnsi="Sylfaen" w:cstheme="minorHAnsi"/>
          <w:i/>
          <w:sz w:val="16"/>
          <w:szCs w:val="16"/>
        </w:rPr>
        <w:t>სავალუტო</w:t>
      </w:r>
      <w:proofErr w:type="spellEnd"/>
      <w:r w:rsidR="000340AB" w:rsidRPr="000A62E9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="000340AB" w:rsidRPr="000A62E9">
        <w:rPr>
          <w:rFonts w:ascii="Sylfaen" w:hAnsi="Sylfaen" w:cstheme="minorHAnsi"/>
          <w:i/>
          <w:sz w:val="16"/>
          <w:szCs w:val="16"/>
        </w:rPr>
        <w:t>კურსები</w:t>
      </w:r>
      <w:proofErr w:type="spellEnd"/>
      <w:r w:rsidR="000340AB" w:rsidRPr="000A62E9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="000340AB" w:rsidRPr="000A62E9">
        <w:rPr>
          <w:rFonts w:ascii="Sylfaen" w:hAnsi="Sylfaen" w:cstheme="minorHAnsi"/>
          <w:i/>
          <w:sz w:val="16"/>
          <w:szCs w:val="16"/>
        </w:rPr>
        <w:t>მოცემული</w:t>
      </w:r>
      <w:proofErr w:type="spellEnd"/>
      <w:r w:rsidR="000340AB" w:rsidRPr="000A62E9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="000340AB" w:rsidRPr="000A62E9">
        <w:rPr>
          <w:rFonts w:ascii="Sylfaen" w:hAnsi="Sylfaen" w:cstheme="minorHAnsi"/>
          <w:i/>
          <w:sz w:val="16"/>
          <w:szCs w:val="16"/>
        </w:rPr>
        <w:t>თარიღისათვის</w:t>
      </w:r>
      <w:proofErr w:type="spellEnd"/>
    </w:p>
    <w:p w:rsidR="00CC4209" w:rsidRPr="000A62E9" w:rsidRDefault="00CC4209" w:rsidP="008664C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theme="minorHAnsi"/>
          <w:i/>
          <w:sz w:val="16"/>
          <w:szCs w:val="16"/>
        </w:rPr>
      </w:pPr>
      <w:r w:rsidRPr="000A62E9">
        <w:rPr>
          <w:rFonts w:ascii="Sylfaen" w:hAnsi="Sylfaen" w:cstheme="minorHAnsi"/>
          <w:i/>
          <w:sz w:val="16"/>
          <w:szCs w:val="16"/>
          <w:lang w:val="ka-GE"/>
        </w:rPr>
        <w:t xml:space="preserve">   </w:t>
      </w:r>
      <w:r w:rsidRPr="000A62E9">
        <w:rPr>
          <w:rFonts w:ascii="Sylfaen" w:hAnsi="Sylfaen" w:cstheme="minorHAnsi"/>
          <w:i/>
          <w:sz w:val="16"/>
          <w:szCs w:val="16"/>
        </w:rPr>
        <w:t xml:space="preserve">* </w:t>
      </w:r>
      <w:proofErr w:type="spellStart"/>
      <w:proofErr w:type="gramStart"/>
      <w:r w:rsidRPr="000A62E9">
        <w:rPr>
          <w:rFonts w:ascii="Sylfaen" w:hAnsi="Sylfaen" w:cstheme="minorHAnsi"/>
          <w:i/>
          <w:sz w:val="16"/>
          <w:szCs w:val="16"/>
        </w:rPr>
        <w:t>საბიუჯეტო</w:t>
      </w:r>
      <w:proofErr w:type="spellEnd"/>
      <w:proofErr w:type="gramEnd"/>
      <w:r w:rsidRPr="000A62E9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Pr="000A62E9">
        <w:rPr>
          <w:rFonts w:ascii="Sylfaen" w:hAnsi="Sylfaen" w:cstheme="minorHAnsi"/>
          <w:i/>
          <w:sz w:val="16"/>
          <w:szCs w:val="16"/>
        </w:rPr>
        <w:t>კოდექსში</w:t>
      </w:r>
      <w:proofErr w:type="spellEnd"/>
      <w:r w:rsidRPr="000A62E9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Pr="000A62E9">
        <w:rPr>
          <w:rFonts w:ascii="Sylfaen" w:hAnsi="Sylfaen" w:cstheme="minorHAnsi"/>
          <w:i/>
          <w:sz w:val="16"/>
          <w:szCs w:val="16"/>
        </w:rPr>
        <w:t>განხორციელებული</w:t>
      </w:r>
      <w:proofErr w:type="spellEnd"/>
      <w:r w:rsidRPr="000A62E9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Pr="000A62E9">
        <w:rPr>
          <w:rFonts w:ascii="Sylfaen" w:hAnsi="Sylfaen" w:cstheme="minorHAnsi"/>
          <w:i/>
          <w:sz w:val="16"/>
          <w:szCs w:val="16"/>
        </w:rPr>
        <w:t>ცვლილების</w:t>
      </w:r>
      <w:proofErr w:type="spellEnd"/>
      <w:r w:rsidRPr="000A62E9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Pr="000A62E9">
        <w:rPr>
          <w:rFonts w:ascii="Sylfaen" w:hAnsi="Sylfaen" w:cstheme="minorHAnsi"/>
          <w:i/>
          <w:sz w:val="16"/>
          <w:szCs w:val="16"/>
        </w:rPr>
        <w:t>შესაბამისად</w:t>
      </w:r>
      <w:proofErr w:type="spellEnd"/>
      <w:r w:rsidRPr="000A62E9">
        <w:rPr>
          <w:rFonts w:ascii="Sylfaen" w:hAnsi="Sylfaen" w:cstheme="minorHAnsi"/>
          <w:i/>
          <w:sz w:val="16"/>
          <w:szCs w:val="16"/>
        </w:rPr>
        <w:t xml:space="preserve">, </w:t>
      </w:r>
      <w:proofErr w:type="spellStart"/>
      <w:r w:rsidRPr="000A62E9">
        <w:rPr>
          <w:rFonts w:ascii="Sylfaen" w:hAnsi="Sylfaen" w:cstheme="minorHAnsi"/>
          <w:i/>
          <w:sz w:val="16"/>
          <w:szCs w:val="16"/>
        </w:rPr>
        <w:t>გათვალისწინებულია</w:t>
      </w:r>
      <w:proofErr w:type="spellEnd"/>
      <w:r w:rsidRPr="000A62E9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Pr="000A62E9">
        <w:rPr>
          <w:rFonts w:ascii="Sylfaen" w:hAnsi="Sylfaen" w:cstheme="minorHAnsi"/>
          <w:i/>
          <w:sz w:val="16"/>
          <w:szCs w:val="16"/>
        </w:rPr>
        <w:t>სამთავრობო</w:t>
      </w:r>
      <w:proofErr w:type="spellEnd"/>
      <w:r w:rsidRPr="000A62E9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Pr="000A62E9">
        <w:rPr>
          <w:rFonts w:ascii="Sylfaen" w:hAnsi="Sylfaen" w:cstheme="minorHAnsi"/>
          <w:i/>
          <w:sz w:val="16"/>
          <w:szCs w:val="16"/>
        </w:rPr>
        <w:t>სექტორისათვის</w:t>
      </w:r>
      <w:proofErr w:type="spellEnd"/>
      <w:r w:rsidRPr="000A62E9">
        <w:rPr>
          <w:rFonts w:ascii="Sylfaen" w:hAnsi="Sylfaen" w:cstheme="minorHAnsi"/>
          <w:i/>
          <w:sz w:val="16"/>
          <w:szCs w:val="16"/>
        </w:rPr>
        <w:t xml:space="preserve"> </w:t>
      </w:r>
      <w:r w:rsidRPr="000A62E9">
        <w:rPr>
          <w:rFonts w:ascii="Sylfaen" w:hAnsi="Sylfaen" w:cstheme="minorHAnsi"/>
          <w:i/>
          <w:sz w:val="16"/>
          <w:szCs w:val="16"/>
          <w:lang w:val="ka-GE"/>
        </w:rPr>
        <w:t xml:space="preserve"> </w:t>
      </w:r>
      <w:proofErr w:type="spellStart"/>
      <w:r w:rsidRPr="000A62E9">
        <w:rPr>
          <w:rFonts w:ascii="Sylfaen" w:hAnsi="Sylfaen" w:cstheme="minorHAnsi"/>
          <w:i/>
          <w:sz w:val="16"/>
          <w:szCs w:val="16"/>
        </w:rPr>
        <w:t>მიკუთვნებული</w:t>
      </w:r>
      <w:proofErr w:type="spellEnd"/>
      <w:r w:rsidRPr="000A62E9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Pr="000A62E9">
        <w:rPr>
          <w:rFonts w:ascii="Sylfaen" w:hAnsi="Sylfaen" w:cstheme="minorHAnsi"/>
          <w:i/>
          <w:sz w:val="16"/>
          <w:szCs w:val="16"/>
        </w:rPr>
        <w:t>სახელმწიფო</w:t>
      </w:r>
      <w:proofErr w:type="spellEnd"/>
      <w:r w:rsidRPr="000A62E9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Pr="000A62E9">
        <w:rPr>
          <w:rFonts w:ascii="Sylfaen" w:hAnsi="Sylfaen" w:cstheme="minorHAnsi"/>
          <w:i/>
          <w:sz w:val="16"/>
          <w:szCs w:val="16"/>
        </w:rPr>
        <w:t>საწარმოების</w:t>
      </w:r>
      <w:proofErr w:type="spellEnd"/>
      <w:r w:rsidRPr="000A62E9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Pr="000A62E9">
        <w:rPr>
          <w:rFonts w:ascii="Sylfaen" w:hAnsi="Sylfaen" w:cstheme="minorHAnsi"/>
          <w:i/>
          <w:sz w:val="16"/>
          <w:szCs w:val="16"/>
        </w:rPr>
        <w:t>სესხის</w:t>
      </w:r>
      <w:proofErr w:type="spellEnd"/>
      <w:r w:rsidRPr="000A62E9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Pr="000A62E9">
        <w:rPr>
          <w:rFonts w:ascii="Sylfaen" w:hAnsi="Sylfaen" w:cstheme="minorHAnsi"/>
          <w:i/>
          <w:sz w:val="16"/>
          <w:szCs w:val="16"/>
        </w:rPr>
        <w:t>სახით</w:t>
      </w:r>
      <w:proofErr w:type="spellEnd"/>
      <w:r w:rsidRPr="000A62E9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Pr="000A62E9">
        <w:rPr>
          <w:rFonts w:ascii="Sylfaen" w:hAnsi="Sylfaen" w:cstheme="minorHAnsi"/>
          <w:i/>
          <w:sz w:val="16"/>
          <w:szCs w:val="16"/>
        </w:rPr>
        <w:t>არსებული</w:t>
      </w:r>
      <w:proofErr w:type="spellEnd"/>
      <w:r w:rsidRPr="000A62E9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Pr="000A62E9">
        <w:rPr>
          <w:rFonts w:ascii="Sylfaen" w:hAnsi="Sylfaen" w:cstheme="minorHAnsi"/>
          <w:i/>
          <w:sz w:val="16"/>
          <w:szCs w:val="16"/>
        </w:rPr>
        <w:t>ვალი</w:t>
      </w:r>
      <w:proofErr w:type="spellEnd"/>
      <w:r w:rsidRPr="000A62E9">
        <w:rPr>
          <w:rFonts w:ascii="Sylfaen" w:hAnsi="Sylfaen" w:cstheme="minorHAnsi"/>
          <w:i/>
          <w:sz w:val="16"/>
          <w:szCs w:val="16"/>
        </w:rPr>
        <w:t xml:space="preserve"> 2022 </w:t>
      </w:r>
      <w:proofErr w:type="spellStart"/>
      <w:r w:rsidRPr="000A62E9">
        <w:rPr>
          <w:rFonts w:ascii="Sylfaen" w:hAnsi="Sylfaen" w:cstheme="minorHAnsi"/>
          <w:i/>
          <w:sz w:val="16"/>
          <w:szCs w:val="16"/>
        </w:rPr>
        <w:t>წლის</w:t>
      </w:r>
      <w:proofErr w:type="spellEnd"/>
      <w:r w:rsidRPr="000A62E9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Pr="000A62E9">
        <w:rPr>
          <w:rFonts w:ascii="Sylfaen" w:hAnsi="Sylfaen" w:cstheme="minorHAnsi"/>
          <w:i/>
          <w:sz w:val="16"/>
          <w:szCs w:val="16"/>
        </w:rPr>
        <w:t>დეკემბრიდან</w:t>
      </w:r>
      <w:proofErr w:type="spellEnd"/>
    </w:p>
    <w:sectPr w:rsidR="00CC4209" w:rsidRPr="000A62E9" w:rsidSect="00B72D94">
      <w:footerReference w:type="default" r:id="rId11"/>
      <w:pgSz w:w="11907" w:h="16839" w:code="9"/>
      <w:pgMar w:top="568" w:right="1134" w:bottom="709" w:left="720" w:header="720" w:footer="8" w:gutter="0"/>
      <w:pgBorders w:offsetFrom="page">
        <w:top w:val="dashSmallGap" w:sz="4" w:space="24" w:color="FFFFFF" w:themeColor="background1"/>
        <w:left w:val="dashSmallGap" w:sz="4" w:space="24" w:color="FFFFFF" w:themeColor="background1"/>
        <w:bottom w:val="dashSmallGap" w:sz="4" w:space="24" w:color="FFFFFF" w:themeColor="background1"/>
        <w:right w:val="dashSmallGap" w:sz="4" w:space="24" w:color="FFFFFF" w:themeColor="background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10C" w:rsidRDefault="008C510C" w:rsidP="00400BED">
      <w:pPr>
        <w:spacing w:after="0" w:line="240" w:lineRule="auto"/>
      </w:pPr>
      <w:r>
        <w:separator/>
      </w:r>
    </w:p>
  </w:endnote>
  <w:endnote w:type="continuationSeparator" w:id="0">
    <w:p w:rsidR="008C510C" w:rsidRDefault="008C510C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altName w:val="Arial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3839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62E9" w:rsidRDefault="000A62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FC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A62E9" w:rsidRDefault="000A6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10C" w:rsidRDefault="008C510C" w:rsidP="00400BED">
      <w:pPr>
        <w:spacing w:after="0" w:line="240" w:lineRule="auto"/>
      </w:pPr>
      <w:r>
        <w:separator/>
      </w:r>
    </w:p>
  </w:footnote>
  <w:footnote w:type="continuationSeparator" w:id="0">
    <w:p w:rsidR="008C510C" w:rsidRDefault="008C510C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5377B"/>
    <w:multiLevelType w:val="hybridMultilevel"/>
    <w:tmpl w:val="87AE872A"/>
    <w:lvl w:ilvl="0" w:tplc="CB9CC7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1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F5"/>
    <w:rsid w:val="00001E43"/>
    <w:rsid w:val="0000527B"/>
    <w:rsid w:val="0001021B"/>
    <w:rsid w:val="00011659"/>
    <w:rsid w:val="00012780"/>
    <w:rsid w:val="00012D7B"/>
    <w:rsid w:val="00012DFA"/>
    <w:rsid w:val="00013D97"/>
    <w:rsid w:val="0001411B"/>
    <w:rsid w:val="00015303"/>
    <w:rsid w:val="000156E3"/>
    <w:rsid w:val="000162A1"/>
    <w:rsid w:val="00017DE3"/>
    <w:rsid w:val="00023C53"/>
    <w:rsid w:val="00027288"/>
    <w:rsid w:val="0002796C"/>
    <w:rsid w:val="00030CF6"/>
    <w:rsid w:val="00033B82"/>
    <w:rsid w:val="000340AB"/>
    <w:rsid w:val="0003606D"/>
    <w:rsid w:val="00036CFD"/>
    <w:rsid w:val="00037587"/>
    <w:rsid w:val="00037DB7"/>
    <w:rsid w:val="00040C4B"/>
    <w:rsid w:val="000413CE"/>
    <w:rsid w:val="00041D5B"/>
    <w:rsid w:val="000421D0"/>
    <w:rsid w:val="00044527"/>
    <w:rsid w:val="00044F01"/>
    <w:rsid w:val="000458CE"/>
    <w:rsid w:val="00050EF1"/>
    <w:rsid w:val="00054AB0"/>
    <w:rsid w:val="00063126"/>
    <w:rsid w:val="00064366"/>
    <w:rsid w:val="00064717"/>
    <w:rsid w:val="00065901"/>
    <w:rsid w:val="00065AD3"/>
    <w:rsid w:val="0006735B"/>
    <w:rsid w:val="0007088A"/>
    <w:rsid w:val="0007188A"/>
    <w:rsid w:val="00071A4F"/>
    <w:rsid w:val="00071D1D"/>
    <w:rsid w:val="00071DD7"/>
    <w:rsid w:val="00072855"/>
    <w:rsid w:val="00073EEF"/>
    <w:rsid w:val="0007413E"/>
    <w:rsid w:val="00074A14"/>
    <w:rsid w:val="0007519C"/>
    <w:rsid w:val="00076D70"/>
    <w:rsid w:val="000771C9"/>
    <w:rsid w:val="00080A73"/>
    <w:rsid w:val="0008119F"/>
    <w:rsid w:val="00081DE3"/>
    <w:rsid w:val="000858BE"/>
    <w:rsid w:val="00086670"/>
    <w:rsid w:val="00086A00"/>
    <w:rsid w:val="000903AB"/>
    <w:rsid w:val="00091646"/>
    <w:rsid w:val="000957B3"/>
    <w:rsid w:val="00095B71"/>
    <w:rsid w:val="00096855"/>
    <w:rsid w:val="000969CB"/>
    <w:rsid w:val="00096CC2"/>
    <w:rsid w:val="000973FB"/>
    <w:rsid w:val="000A068D"/>
    <w:rsid w:val="000A29EB"/>
    <w:rsid w:val="000A407F"/>
    <w:rsid w:val="000A4467"/>
    <w:rsid w:val="000A4CEA"/>
    <w:rsid w:val="000A5C1D"/>
    <w:rsid w:val="000A5F64"/>
    <w:rsid w:val="000A62E9"/>
    <w:rsid w:val="000A7B97"/>
    <w:rsid w:val="000B16F8"/>
    <w:rsid w:val="000B2189"/>
    <w:rsid w:val="000B567A"/>
    <w:rsid w:val="000B6954"/>
    <w:rsid w:val="000B6CAA"/>
    <w:rsid w:val="000C0AAC"/>
    <w:rsid w:val="000C139F"/>
    <w:rsid w:val="000C3566"/>
    <w:rsid w:val="000C3B39"/>
    <w:rsid w:val="000C42DD"/>
    <w:rsid w:val="000C4A44"/>
    <w:rsid w:val="000C57D0"/>
    <w:rsid w:val="000D046A"/>
    <w:rsid w:val="000D159E"/>
    <w:rsid w:val="000D1A17"/>
    <w:rsid w:val="000D4D25"/>
    <w:rsid w:val="000D7D26"/>
    <w:rsid w:val="000E0438"/>
    <w:rsid w:val="000E4DAD"/>
    <w:rsid w:val="000E5F6B"/>
    <w:rsid w:val="000E7432"/>
    <w:rsid w:val="000E7E49"/>
    <w:rsid w:val="000F00E4"/>
    <w:rsid w:val="000F13F4"/>
    <w:rsid w:val="000F27A7"/>
    <w:rsid w:val="000F55BB"/>
    <w:rsid w:val="000F5720"/>
    <w:rsid w:val="000F7356"/>
    <w:rsid w:val="000F7FD3"/>
    <w:rsid w:val="00102D0F"/>
    <w:rsid w:val="0010427D"/>
    <w:rsid w:val="001055DA"/>
    <w:rsid w:val="00110A1B"/>
    <w:rsid w:val="00121AE2"/>
    <w:rsid w:val="00124299"/>
    <w:rsid w:val="001261C7"/>
    <w:rsid w:val="00126570"/>
    <w:rsid w:val="00126E5C"/>
    <w:rsid w:val="0013125A"/>
    <w:rsid w:val="001318E0"/>
    <w:rsid w:val="0013347B"/>
    <w:rsid w:val="00134EA9"/>
    <w:rsid w:val="0013522D"/>
    <w:rsid w:val="00137A54"/>
    <w:rsid w:val="00137ED5"/>
    <w:rsid w:val="00140A25"/>
    <w:rsid w:val="00140A2F"/>
    <w:rsid w:val="00144098"/>
    <w:rsid w:val="001441DC"/>
    <w:rsid w:val="00145367"/>
    <w:rsid w:val="0014548C"/>
    <w:rsid w:val="001536D0"/>
    <w:rsid w:val="00154312"/>
    <w:rsid w:val="00154428"/>
    <w:rsid w:val="00157433"/>
    <w:rsid w:val="00160413"/>
    <w:rsid w:val="001606AC"/>
    <w:rsid w:val="00162FC7"/>
    <w:rsid w:val="00164B20"/>
    <w:rsid w:val="001655B2"/>
    <w:rsid w:val="0016733A"/>
    <w:rsid w:val="001673DC"/>
    <w:rsid w:val="00173BAA"/>
    <w:rsid w:val="001757D3"/>
    <w:rsid w:val="001763B0"/>
    <w:rsid w:val="001763FC"/>
    <w:rsid w:val="001779D6"/>
    <w:rsid w:val="00181ECC"/>
    <w:rsid w:val="001821A1"/>
    <w:rsid w:val="00182832"/>
    <w:rsid w:val="00187C1C"/>
    <w:rsid w:val="00190A72"/>
    <w:rsid w:val="00193364"/>
    <w:rsid w:val="00193C76"/>
    <w:rsid w:val="0019510F"/>
    <w:rsid w:val="00197E9D"/>
    <w:rsid w:val="001A296F"/>
    <w:rsid w:val="001A2AFB"/>
    <w:rsid w:val="001A3600"/>
    <w:rsid w:val="001A397F"/>
    <w:rsid w:val="001A410C"/>
    <w:rsid w:val="001B17E2"/>
    <w:rsid w:val="001B2633"/>
    <w:rsid w:val="001B4547"/>
    <w:rsid w:val="001B508D"/>
    <w:rsid w:val="001B56F5"/>
    <w:rsid w:val="001B5DAC"/>
    <w:rsid w:val="001C5235"/>
    <w:rsid w:val="001C5F44"/>
    <w:rsid w:val="001D0A60"/>
    <w:rsid w:val="001D17B2"/>
    <w:rsid w:val="001D5195"/>
    <w:rsid w:val="001D5ADC"/>
    <w:rsid w:val="001D65B8"/>
    <w:rsid w:val="001D6905"/>
    <w:rsid w:val="001D7AFC"/>
    <w:rsid w:val="001E272E"/>
    <w:rsid w:val="001E2DD2"/>
    <w:rsid w:val="001E3FF5"/>
    <w:rsid w:val="001E4147"/>
    <w:rsid w:val="001E53A0"/>
    <w:rsid w:val="001E61BA"/>
    <w:rsid w:val="001E62A2"/>
    <w:rsid w:val="001E6933"/>
    <w:rsid w:val="001E6B6E"/>
    <w:rsid w:val="001F1323"/>
    <w:rsid w:val="001F3BCB"/>
    <w:rsid w:val="00200F18"/>
    <w:rsid w:val="00202DDD"/>
    <w:rsid w:val="00203743"/>
    <w:rsid w:val="00203E0A"/>
    <w:rsid w:val="0020475E"/>
    <w:rsid w:val="00206BEB"/>
    <w:rsid w:val="00210947"/>
    <w:rsid w:val="00215653"/>
    <w:rsid w:val="0022036E"/>
    <w:rsid w:val="0022130D"/>
    <w:rsid w:val="00223E82"/>
    <w:rsid w:val="00225341"/>
    <w:rsid w:val="00232536"/>
    <w:rsid w:val="00233B5E"/>
    <w:rsid w:val="0023438F"/>
    <w:rsid w:val="00236007"/>
    <w:rsid w:val="0024105B"/>
    <w:rsid w:val="0024488E"/>
    <w:rsid w:val="00247C11"/>
    <w:rsid w:val="00247D3D"/>
    <w:rsid w:val="0025039F"/>
    <w:rsid w:val="00256FDD"/>
    <w:rsid w:val="00262BF3"/>
    <w:rsid w:val="00263EAD"/>
    <w:rsid w:val="00270120"/>
    <w:rsid w:val="00270C72"/>
    <w:rsid w:val="0027372A"/>
    <w:rsid w:val="002758CB"/>
    <w:rsid w:val="0028042E"/>
    <w:rsid w:val="0028088E"/>
    <w:rsid w:val="00280FA2"/>
    <w:rsid w:val="00281A88"/>
    <w:rsid w:val="00285C33"/>
    <w:rsid w:val="0028678E"/>
    <w:rsid w:val="0028789D"/>
    <w:rsid w:val="0029176A"/>
    <w:rsid w:val="00293858"/>
    <w:rsid w:val="0029394E"/>
    <w:rsid w:val="00294224"/>
    <w:rsid w:val="002A2174"/>
    <w:rsid w:val="002A3C73"/>
    <w:rsid w:val="002A4263"/>
    <w:rsid w:val="002A5BC2"/>
    <w:rsid w:val="002B1FB3"/>
    <w:rsid w:val="002B3E23"/>
    <w:rsid w:val="002B47AA"/>
    <w:rsid w:val="002B61B5"/>
    <w:rsid w:val="002B6DAE"/>
    <w:rsid w:val="002B6F15"/>
    <w:rsid w:val="002B72FA"/>
    <w:rsid w:val="002B7EE6"/>
    <w:rsid w:val="002C2F60"/>
    <w:rsid w:val="002C41C2"/>
    <w:rsid w:val="002C5398"/>
    <w:rsid w:val="002C6D8C"/>
    <w:rsid w:val="002C7782"/>
    <w:rsid w:val="002C784F"/>
    <w:rsid w:val="002D15C8"/>
    <w:rsid w:val="002D16E4"/>
    <w:rsid w:val="002D22B9"/>
    <w:rsid w:val="002D2B26"/>
    <w:rsid w:val="002D5A2E"/>
    <w:rsid w:val="002D6813"/>
    <w:rsid w:val="002D6F6A"/>
    <w:rsid w:val="002E3E75"/>
    <w:rsid w:val="002E5E28"/>
    <w:rsid w:val="002F09F5"/>
    <w:rsid w:val="002F292C"/>
    <w:rsid w:val="002F4A36"/>
    <w:rsid w:val="002F5FB0"/>
    <w:rsid w:val="002F70F8"/>
    <w:rsid w:val="002F7144"/>
    <w:rsid w:val="00300306"/>
    <w:rsid w:val="003028B4"/>
    <w:rsid w:val="00304455"/>
    <w:rsid w:val="00307471"/>
    <w:rsid w:val="00310E6E"/>
    <w:rsid w:val="00311508"/>
    <w:rsid w:val="00311D8A"/>
    <w:rsid w:val="0031282C"/>
    <w:rsid w:val="00313468"/>
    <w:rsid w:val="003166CD"/>
    <w:rsid w:val="00317C22"/>
    <w:rsid w:val="00324800"/>
    <w:rsid w:val="0032795B"/>
    <w:rsid w:val="003303AF"/>
    <w:rsid w:val="0033211A"/>
    <w:rsid w:val="00332B60"/>
    <w:rsid w:val="003351F0"/>
    <w:rsid w:val="00336814"/>
    <w:rsid w:val="003419E6"/>
    <w:rsid w:val="003425D6"/>
    <w:rsid w:val="003430DD"/>
    <w:rsid w:val="00344AAF"/>
    <w:rsid w:val="00347FB5"/>
    <w:rsid w:val="00352E0D"/>
    <w:rsid w:val="00355C4C"/>
    <w:rsid w:val="0035676A"/>
    <w:rsid w:val="00361037"/>
    <w:rsid w:val="00361883"/>
    <w:rsid w:val="00364196"/>
    <w:rsid w:val="0036419C"/>
    <w:rsid w:val="00372A1B"/>
    <w:rsid w:val="00375F6E"/>
    <w:rsid w:val="00377B9F"/>
    <w:rsid w:val="00382167"/>
    <w:rsid w:val="003838EC"/>
    <w:rsid w:val="00387352"/>
    <w:rsid w:val="0039166F"/>
    <w:rsid w:val="00393058"/>
    <w:rsid w:val="00393AC5"/>
    <w:rsid w:val="00395CE1"/>
    <w:rsid w:val="003967C1"/>
    <w:rsid w:val="00396821"/>
    <w:rsid w:val="00397075"/>
    <w:rsid w:val="003A0B26"/>
    <w:rsid w:val="003A0E81"/>
    <w:rsid w:val="003A343D"/>
    <w:rsid w:val="003A4A93"/>
    <w:rsid w:val="003A508F"/>
    <w:rsid w:val="003A7B9A"/>
    <w:rsid w:val="003B1490"/>
    <w:rsid w:val="003B15C3"/>
    <w:rsid w:val="003B22D1"/>
    <w:rsid w:val="003B4834"/>
    <w:rsid w:val="003B5B47"/>
    <w:rsid w:val="003B68A7"/>
    <w:rsid w:val="003B775B"/>
    <w:rsid w:val="003C1551"/>
    <w:rsid w:val="003C2AE8"/>
    <w:rsid w:val="003C3825"/>
    <w:rsid w:val="003C3F53"/>
    <w:rsid w:val="003C5914"/>
    <w:rsid w:val="003C60E3"/>
    <w:rsid w:val="003C633D"/>
    <w:rsid w:val="003D081D"/>
    <w:rsid w:val="003D0F28"/>
    <w:rsid w:val="003D158A"/>
    <w:rsid w:val="003D5A3B"/>
    <w:rsid w:val="003D6E27"/>
    <w:rsid w:val="003D7FE1"/>
    <w:rsid w:val="003E2AE8"/>
    <w:rsid w:val="003E2E05"/>
    <w:rsid w:val="003E2FDF"/>
    <w:rsid w:val="003E43A7"/>
    <w:rsid w:val="003E5A7C"/>
    <w:rsid w:val="003F208F"/>
    <w:rsid w:val="003F27BF"/>
    <w:rsid w:val="003F2860"/>
    <w:rsid w:val="003F3483"/>
    <w:rsid w:val="003F36B5"/>
    <w:rsid w:val="003F6B8E"/>
    <w:rsid w:val="003F6F77"/>
    <w:rsid w:val="003F711D"/>
    <w:rsid w:val="003F75A7"/>
    <w:rsid w:val="00400BED"/>
    <w:rsid w:val="004029CA"/>
    <w:rsid w:val="004033E5"/>
    <w:rsid w:val="00405A47"/>
    <w:rsid w:val="0040622C"/>
    <w:rsid w:val="0040699D"/>
    <w:rsid w:val="00406FEE"/>
    <w:rsid w:val="00410C40"/>
    <w:rsid w:val="004117C8"/>
    <w:rsid w:val="004150CD"/>
    <w:rsid w:val="00416472"/>
    <w:rsid w:val="00425B8C"/>
    <w:rsid w:val="00425E7D"/>
    <w:rsid w:val="00426244"/>
    <w:rsid w:val="00427DC2"/>
    <w:rsid w:val="00430968"/>
    <w:rsid w:val="00431ADF"/>
    <w:rsid w:val="004324BD"/>
    <w:rsid w:val="00434625"/>
    <w:rsid w:val="004370D0"/>
    <w:rsid w:val="00437237"/>
    <w:rsid w:val="00441218"/>
    <w:rsid w:val="0044178B"/>
    <w:rsid w:val="004439FD"/>
    <w:rsid w:val="00445CA6"/>
    <w:rsid w:val="004464CC"/>
    <w:rsid w:val="004550CF"/>
    <w:rsid w:val="00455E35"/>
    <w:rsid w:val="00460232"/>
    <w:rsid w:val="004611B5"/>
    <w:rsid w:val="00462A0C"/>
    <w:rsid w:val="00466050"/>
    <w:rsid w:val="00466B57"/>
    <w:rsid w:val="00470E61"/>
    <w:rsid w:val="00471D7F"/>
    <w:rsid w:val="004736EE"/>
    <w:rsid w:val="00476120"/>
    <w:rsid w:val="00480AB4"/>
    <w:rsid w:val="00480DC3"/>
    <w:rsid w:val="004816BC"/>
    <w:rsid w:val="004835AB"/>
    <w:rsid w:val="004850D5"/>
    <w:rsid w:val="00485FD9"/>
    <w:rsid w:val="00490B44"/>
    <w:rsid w:val="00493136"/>
    <w:rsid w:val="00496409"/>
    <w:rsid w:val="0049690F"/>
    <w:rsid w:val="004A3196"/>
    <w:rsid w:val="004A3DB0"/>
    <w:rsid w:val="004A4AF2"/>
    <w:rsid w:val="004A760F"/>
    <w:rsid w:val="004B1263"/>
    <w:rsid w:val="004B29BC"/>
    <w:rsid w:val="004B46E8"/>
    <w:rsid w:val="004C0704"/>
    <w:rsid w:val="004C38FF"/>
    <w:rsid w:val="004C59A6"/>
    <w:rsid w:val="004D17A6"/>
    <w:rsid w:val="004D1B8B"/>
    <w:rsid w:val="004D26F9"/>
    <w:rsid w:val="004D7B47"/>
    <w:rsid w:val="004E09B6"/>
    <w:rsid w:val="004E2497"/>
    <w:rsid w:val="004E2CCE"/>
    <w:rsid w:val="004E3AB1"/>
    <w:rsid w:val="004E422E"/>
    <w:rsid w:val="004F2321"/>
    <w:rsid w:val="004F38F8"/>
    <w:rsid w:val="004F5AB2"/>
    <w:rsid w:val="00500ACE"/>
    <w:rsid w:val="0050185A"/>
    <w:rsid w:val="00501955"/>
    <w:rsid w:val="00501E22"/>
    <w:rsid w:val="00503393"/>
    <w:rsid w:val="005043A4"/>
    <w:rsid w:val="0050712A"/>
    <w:rsid w:val="00510802"/>
    <w:rsid w:val="005131CE"/>
    <w:rsid w:val="005134D5"/>
    <w:rsid w:val="00513577"/>
    <w:rsid w:val="00515451"/>
    <w:rsid w:val="005165EB"/>
    <w:rsid w:val="00516C30"/>
    <w:rsid w:val="00523560"/>
    <w:rsid w:val="00525C65"/>
    <w:rsid w:val="0053140C"/>
    <w:rsid w:val="0053399C"/>
    <w:rsid w:val="00534D33"/>
    <w:rsid w:val="0053506B"/>
    <w:rsid w:val="005370EC"/>
    <w:rsid w:val="005379C8"/>
    <w:rsid w:val="0054275A"/>
    <w:rsid w:val="00543222"/>
    <w:rsid w:val="00544450"/>
    <w:rsid w:val="005449B4"/>
    <w:rsid w:val="00547406"/>
    <w:rsid w:val="005532C7"/>
    <w:rsid w:val="0055381D"/>
    <w:rsid w:val="00553A03"/>
    <w:rsid w:val="00554F62"/>
    <w:rsid w:val="0055654D"/>
    <w:rsid w:val="00560452"/>
    <w:rsid w:val="0056160F"/>
    <w:rsid w:val="00562F9C"/>
    <w:rsid w:val="00564957"/>
    <w:rsid w:val="00564C7D"/>
    <w:rsid w:val="00567ACE"/>
    <w:rsid w:val="00567AEC"/>
    <w:rsid w:val="00570728"/>
    <w:rsid w:val="00570A55"/>
    <w:rsid w:val="00570C98"/>
    <w:rsid w:val="00572781"/>
    <w:rsid w:val="0057502A"/>
    <w:rsid w:val="00576720"/>
    <w:rsid w:val="00581B0F"/>
    <w:rsid w:val="005830B0"/>
    <w:rsid w:val="0058312E"/>
    <w:rsid w:val="005842BD"/>
    <w:rsid w:val="005870D9"/>
    <w:rsid w:val="00590695"/>
    <w:rsid w:val="00591512"/>
    <w:rsid w:val="005925B8"/>
    <w:rsid w:val="00594033"/>
    <w:rsid w:val="00595CEE"/>
    <w:rsid w:val="00596075"/>
    <w:rsid w:val="005A44F5"/>
    <w:rsid w:val="005A5072"/>
    <w:rsid w:val="005A5523"/>
    <w:rsid w:val="005B3C35"/>
    <w:rsid w:val="005B498D"/>
    <w:rsid w:val="005B505D"/>
    <w:rsid w:val="005B5D38"/>
    <w:rsid w:val="005C0056"/>
    <w:rsid w:val="005C212A"/>
    <w:rsid w:val="005C46D1"/>
    <w:rsid w:val="005C5C44"/>
    <w:rsid w:val="005D0E61"/>
    <w:rsid w:val="005D31E4"/>
    <w:rsid w:val="005D41B7"/>
    <w:rsid w:val="005D5EFD"/>
    <w:rsid w:val="005E0A52"/>
    <w:rsid w:val="005E1257"/>
    <w:rsid w:val="005E2930"/>
    <w:rsid w:val="005E581F"/>
    <w:rsid w:val="005E5E26"/>
    <w:rsid w:val="005E63ED"/>
    <w:rsid w:val="005E7CA8"/>
    <w:rsid w:val="005F35F5"/>
    <w:rsid w:val="005F36E9"/>
    <w:rsid w:val="005F3FA8"/>
    <w:rsid w:val="005F6B8A"/>
    <w:rsid w:val="00600923"/>
    <w:rsid w:val="00603BE0"/>
    <w:rsid w:val="006042C4"/>
    <w:rsid w:val="00613668"/>
    <w:rsid w:val="00615CCA"/>
    <w:rsid w:val="006168BD"/>
    <w:rsid w:val="006202AE"/>
    <w:rsid w:val="006204B4"/>
    <w:rsid w:val="00621E8E"/>
    <w:rsid w:val="0062322C"/>
    <w:rsid w:val="00623F0F"/>
    <w:rsid w:val="00626122"/>
    <w:rsid w:val="006268F4"/>
    <w:rsid w:val="0063170E"/>
    <w:rsid w:val="00631A9A"/>
    <w:rsid w:val="00632C93"/>
    <w:rsid w:val="0063481F"/>
    <w:rsid w:val="0064753E"/>
    <w:rsid w:val="006500C4"/>
    <w:rsid w:val="00651040"/>
    <w:rsid w:val="0065336E"/>
    <w:rsid w:val="006546E7"/>
    <w:rsid w:val="006578EC"/>
    <w:rsid w:val="00661B66"/>
    <w:rsid w:val="00662C3E"/>
    <w:rsid w:val="00663921"/>
    <w:rsid w:val="006663B1"/>
    <w:rsid w:val="00667DDB"/>
    <w:rsid w:val="00670330"/>
    <w:rsid w:val="00671B34"/>
    <w:rsid w:val="00673793"/>
    <w:rsid w:val="00673822"/>
    <w:rsid w:val="00673CD6"/>
    <w:rsid w:val="006776FE"/>
    <w:rsid w:val="0068034E"/>
    <w:rsid w:val="00682DC8"/>
    <w:rsid w:val="006830DB"/>
    <w:rsid w:val="00684B33"/>
    <w:rsid w:val="006859B7"/>
    <w:rsid w:val="006865FC"/>
    <w:rsid w:val="00686D87"/>
    <w:rsid w:val="0068719D"/>
    <w:rsid w:val="00691181"/>
    <w:rsid w:val="00693321"/>
    <w:rsid w:val="00693542"/>
    <w:rsid w:val="00694AB3"/>
    <w:rsid w:val="00694EFF"/>
    <w:rsid w:val="0069693A"/>
    <w:rsid w:val="006A0EC7"/>
    <w:rsid w:val="006A1E01"/>
    <w:rsid w:val="006A3476"/>
    <w:rsid w:val="006A4106"/>
    <w:rsid w:val="006A41DE"/>
    <w:rsid w:val="006A4593"/>
    <w:rsid w:val="006A47A2"/>
    <w:rsid w:val="006A6626"/>
    <w:rsid w:val="006A7D49"/>
    <w:rsid w:val="006B1B1E"/>
    <w:rsid w:val="006B398B"/>
    <w:rsid w:val="006B3FC1"/>
    <w:rsid w:val="006B56B0"/>
    <w:rsid w:val="006C1AE3"/>
    <w:rsid w:val="006C2FB0"/>
    <w:rsid w:val="006C62DA"/>
    <w:rsid w:val="006C6499"/>
    <w:rsid w:val="006C77A4"/>
    <w:rsid w:val="006D2512"/>
    <w:rsid w:val="006D3126"/>
    <w:rsid w:val="006D53A2"/>
    <w:rsid w:val="006D5D4C"/>
    <w:rsid w:val="006D6E25"/>
    <w:rsid w:val="006D734B"/>
    <w:rsid w:val="006E02C4"/>
    <w:rsid w:val="006E1782"/>
    <w:rsid w:val="006E4EF9"/>
    <w:rsid w:val="006F1443"/>
    <w:rsid w:val="006F1A93"/>
    <w:rsid w:val="006F2BB7"/>
    <w:rsid w:val="006F334D"/>
    <w:rsid w:val="006F34C1"/>
    <w:rsid w:val="006F4151"/>
    <w:rsid w:val="006F4202"/>
    <w:rsid w:val="006F461C"/>
    <w:rsid w:val="006F4803"/>
    <w:rsid w:val="006F576F"/>
    <w:rsid w:val="006F5BEB"/>
    <w:rsid w:val="006F6D3E"/>
    <w:rsid w:val="00700C95"/>
    <w:rsid w:val="0070278A"/>
    <w:rsid w:val="007039CE"/>
    <w:rsid w:val="00705B9D"/>
    <w:rsid w:val="0070689E"/>
    <w:rsid w:val="00707FAF"/>
    <w:rsid w:val="00711CE6"/>
    <w:rsid w:val="00711F67"/>
    <w:rsid w:val="007121D3"/>
    <w:rsid w:val="00712989"/>
    <w:rsid w:val="0071317C"/>
    <w:rsid w:val="00713B95"/>
    <w:rsid w:val="00716043"/>
    <w:rsid w:val="00716759"/>
    <w:rsid w:val="00716E4C"/>
    <w:rsid w:val="00721C98"/>
    <w:rsid w:val="00722371"/>
    <w:rsid w:val="0072447C"/>
    <w:rsid w:val="0072498D"/>
    <w:rsid w:val="00724ECA"/>
    <w:rsid w:val="0072570D"/>
    <w:rsid w:val="0072749E"/>
    <w:rsid w:val="00727D30"/>
    <w:rsid w:val="007314D8"/>
    <w:rsid w:val="00737314"/>
    <w:rsid w:val="007449DE"/>
    <w:rsid w:val="00746294"/>
    <w:rsid w:val="007464DB"/>
    <w:rsid w:val="00746651"/>
    <w:rsid w:val="0075480C"/>
    <w:rsid w:val="00756EE2"/>
    <w:rsid w:val="00760891"/>
    <w:rsid w:val="007638B2"/>
    <w:rsid w:val="00764192"/>
    <w:rsid w:val="007643C1"/>
    <w:rsid w:val="00771909"/>
    <w:rsid w:val="007720D8"/>
    <w:rsid w:val="0077274B"/>
    <w:rsid w:val="007728CC"/>
    <w:rsid w:val="00776354"/>
    <w:rsid w:val="00777C2F"/>
    <w:rsid w:val="00780B7F"/>
    <w:rsid w:val="00784855"/>
    <w:rsid w:val="0078542F"/>
    <w:rsid w:val="00786EA2"/>
    <w:rsid w:val="00787C46"/>
    <w:rsid w:val="00790043"/>
    <w:rsid w:val="00791EB9"/>
    <w:rsid w:val="00797BDC"/>
    <w:rsid w:val="007A0D67"/>
    <w:rsid w:val="007A24F9"/>
    <w:rsid w:val="007A32FD"/>
    <w:rsid w:val="007A4F50"/>
    <w:rsid w:val="007A54D3"/>
    <w:rsid w:val="007A5E4F"/>
    <w:rsid w:val="007B32F3"/>
    <w:rsid w:val="007B41B0"/>
    <w:rsid w:val="007B4FCC"/>
    <w:rsid w:val="007B50C9"/>
    <w:rsid w:val="007B65D0"/>
    <w:rsid w:val="007B6928"/>
    <w:rsid w:val="007B6D1D"/>
    <w:rsid w:val="007B7133"/>
    <w:rsid w:val="007C3960"/>
    <w:rsid w:val="007D1B10"/>
    <w:rsid w:val="007D2DE1"/>
    <w:rsid w:val="007D4E77"/>
    <w:rsid w:val="007D725C"/>
    <w:rsid w:val="007D7881"/>
    <w:rsid w:val="007E711B"/>
    <w:rsid w:val="007E716B"/>
    <w:rsid w:val="007F2E76"/>
    <w:rsid w:val="007F2F53"/>
    <w:rsid w:val="007F30E6"/>
    <w:rsid w:val="007F3733"/>
    <w:rsid w:val="007F3E85"/>
    <w:rsid w:val="007F3F5A"/>
    <w:rsid w:val="007F71FD"/>
    <w:rsid w:val="008010E5"/>
    <w:rsid w:val="0080503E"/>
    <w:rsid w:val="00806DA4"/>
    <w:rsid w:val="00812C36"/>
    <w:rsid w:val="00813A2C"/>
    <w:rsid w:val="008153BB"/>
    <w:rsid w:val="00817C42"/>
    <w:rsid w:val="0082056D"/>
    <w:rsid w:val="00826C90"/>
    <w:rsid w:val="0083184C"/>
    <w:rsid w:val="008330FC"/>
    <w:rsid w:val="008337D5"/>
    <w:rsid w:val="00835C21"/>
    <w:rsid w:val="00836A37"/>
    <w:rsid w:val="00840241"/>
    <w:rsid w:val="008405A5"/>
    <w:rsid w:val="008416A6"/>
    <w:rsid w:val="00844711"/>
    <w:rsid w:val="00844751"/>
    <w:rsid w:val="008502C2"/>
    <w:rsid w:val="00850E79"/>
    <w:rsid w:val="0085157F"/>
    <w:rsid w:val="008546EC"/>
    <w:rsid w:val="00854974"/>
    <w:rsid w:val="008564DE"/>
    <w:rsid w:val="00856D52"/>
    <w:rsid w:val="00860E2B"/>
    <w:rsid w:val="00861F1F"/>
    <w:rsid w:val="00862004"/>
    <w:rsid w:val="00863F99"/>
    <w:rsid w:val="00864429"/>
    <w:rsid w:val="00864A00"/>
    <w:rsid w:val="00864A44"/>
    <w:rsid w:val="0086615D"/>
    <w:rsid w:val="00866340"/>
    <w:rsid w:val="008664C6"/>
    <w:rsid w:val="00866C5D"/>
    <w:rsid w:val="00871B7C"/>
    <w:rsid w:val="00873FD3"/>
    <w:rsid w:val="0087522A"/>
    <w:rsid w:val="0087661E"/>
    <w:rsid w:val="00881898"/>
    <w:rsid w:val="0088487C"/>
    <w:rsid w:val="00885C87"/>
    <w:rsid w:val="00890F23"/>
    <w:rsid w:val="00891606"/>
    <w:rsid w:val="008931CF"/>
    <w:rsid w:val="00895BDF"/>
    <w:rsid w:val="0089646B"/>
    <w:rsid w:val="008A1C29"/>
    <w:rsid w:val="008A2103"/>
    <w:rsid w:val="008A296A"/>
    <w:rsid w:val="008A48E5"/>
    <w:rsid w:val="008A7B7D"/>
    <w:rsid w:val="008A7DED"/>
    <w:rsid w:val="008B14CF"/>
    <w:rsid w:val="008B2C36"/>
    <w:rsid w:val="008B343B"/>
    <w:rsid w:val="008B483B"/>
    <w:rsid w:val="008B56E3"/>
    <w:rsid w:val="008B589D"/>
    <w:rsid w:val="008B5C79"/>
    <w:rsid w:val="008B6741"/>
    <w:rsid w:val="008B76C9"/>
    <w:rsid w:val="008C0A08"/>
    <w:rsid w:val="008C2A4C"/>
    <w:rsid w:val="008C387D"/>
    <w:rsid w:val="008C3CD2"/>
    <w:rsid w:val="008C3F27"/>
    <w:rsid w:val="008C510C"/>
    <w:rsid w:val="008C545E"/>
    <w:rsid w:val="008C692E"/>
    <w:rsid w:val="008C7E2B"/>
    <w:rsid w:val="008D0387"/>
    <w:rsid w:val="008D1F2B"/>
    <w:rsid w:val="008D2251"/>
    <w:rsid w:val="008D3068"/>
    <w:rsid w:val="008D7651"/>
    <w:rsid w:val="008D7692"/>
    <w:rsid w:val="008D7B2F"/>
    <w:rsid w:val="008E40B9"/>
    <w:rsid w:val="008E435A"/>
    <w:rsid w:val="008E6116"/>
    <w:rsid w:val="008E62C3"/>
    <w:rsid w:val="008E772B"/>
    <w:rsid w:val="008F0B91"/>
    <w:rsid w:val="00903ED6"/>
    <w:rsid w:val="00905BCC"/>
    <w:rsid w:val="00907476"/>
    <w:rsid w:val="00907532"/>
    <w:rsid w:val="009139F2"/>
    <w:rsid w:val="00914D8C"/>
    <w:rsid w:val="00914EEA"/>
    <w:rsid w:val="0091662B"/>
    <w:rsid w:val="009274F9"/>
    <w:rsid w:val="00927D7E"/>
    <w:rsid w:val="00927EE7"/>
    <w:rsid w:val="00930DB7"/>
    <w:rsid w:val="009330E5"/>
    <w:rsid w:val="009335FA"/>
    <w:rsid w:val="00935F0A"/>
    <w:rsid w:val="009363B9"/>
    <w:rsid w:val="00937534"/>
    <w:rsid w:val="00941504"/>
    <w:rsid w:val="009453D8"/>
    <w:rsid w:val="00945599"/>
    <w:rsid w:val="009515B0"/>
    <w:rsid w:val="00951B71"/>
    <w:rsid w:val="009531BC"/>
    <w:rsid w:val="0096271C"/>
    <w:rsid w:val="0096590B"/>
    <w:rsid w:val="009660A9"/>
    <w:rsid w:val="0096735A"/>
    <w:rsid w:val="009734FB"/>
    <w:rsid w:val="00975967"/>
    <w:rsid w:val="0098017D"/>
    <w:rsid w:val="00980727"/>
    <w:rsid w:val="0098115B"/>
    <w:rsid w:val="009816B7"/>
    <w:rsid w:val="00982850"/>
    <w:rsid w:val="00982E29"/>
    <w:rsid w:val="009864B7"/>
    <w:rsid w:val="00986AAF"/>
    <w:rsid w:val="00990627"/>
    <w:rsid w:val="009917B8"/>
    <w:rsid w:val="00991B14"/>
    <w:rsid w:val="009925D7"/>
    <w:rsid w:val="00993049"/>
    <w:rsid w:val="00994CC0"/>
    <w:rsid w:val="00997661"/>
    <w:rsid w:val="009A1016"/>
    <w:rsid w:val="009A2872"/>
    <w:rsid w:val="009A405D"/>
    <w:rsid w:val="009A7187"/>
    <w:rsid w:val="009A78B3"/>
    <w:rsid w:val="009A7CFF"/>
    <w:rsid w:val="009B1B48"/>
    <w:rsid w:val="009B63F3"/>
    <w:rsid w:val="009B6F6F"/>
    <w:rsid w:val="009C0B59"/>
    <w:rsid w:val="009C1DED"/>
    <w:rsid w:val="009C3A0F"/>
    <w:rsid w:val="009C4F41"/>
    <w:rsid w:val="009C6F6B"/>
    <w:rsid w:val="009C7A0D"/>
    <w:rsid w:val="009D1D40"/>
    <w:rsid w:val="009D383C"/>
    <w:rsid w:val="009D5407"/>
    <w:rsid w:val="009D575E"/>
    <w:rsid w:val="009D66CB"/>
    <w:rsid w:val="009D72B5"/>
    <w:rsid w:val="009D72DB"/>
    <w:rsid w:val="009E33C4"/>
    <w:rsid w:val="009E49DA"/>
    <w:rsid w:val="009E5F2B"/>
    <w:rsid w:val="009E7854"/>
    <w:rsid w:val="009F177E"/>
    <w:rsid w:val="009F1D79"/>
    <w:rsid w:val="009F6AC0"/>
    <w:rsid w:val="009F7E90"/>
    <w:rsid w:val="00A04E5E"/>
    <w:rsid w:val="00A1081B"/>
    <w:rsid w:val="00A11E3F"/>
    <w:rsid w:val="00A12C85"/>
    <w:rsid w:val="00A13C99"/>
    <w:rsid w:val="00A145F4"/>
    <w:rsid w:val="00A16CF3"/>
    <w:rsid w:val="00A17B5A"/>
    <w:rsid w:val="00A2021C"/>
    <w:rsid w:val="00A2126C"/>
    <w:rsid w:val="00A24773"/>
    <w:rsid w:val="00A26B28"/>
    <w:rsid w:val="00A304CC"/>
    <w:rsid w:val="00A30759"/>
    <w:rsid w:val="00A32DCB"/>
    <w:rsid w:val="00A33B48"/>
    <w:rsid w:val="00A404B7"/>
    <w:rsid w:val="00A40CE3"/>
    <w:rsid w:val="00A411AE"/>
    <w:rsid w:val="00A45EB8"/>
    <w:rsid w:val="00A50002"/>
    <w:rsid w:val="00A5293F"/>
    <w:rsid w:val="00A56E3B"/>
    <w:rsid w:val="00A57273"/>
    <w:rsid w:val="00A60D8A"/>
    <w:rsid w:val="00A6278E"/>
    <w:rsid w:val="00A63967"/>
    <w:rsid w:val="00A67F51"/>
    <w:rsid w:val="00A72A1F"/>
    <w:rsid w:val="00A72FFA"/>
    <w:rsid w:val="00A74699"/>
    <w:rsid w:val="00A751B7"/>
    <w:rsid w:val="00A761DC"/>
    <w:rsid w:val="00A770D1"/>
    <w:rsid w:val="00A8306F"/>
    <w:rsid w:val="00A844CF"/>
    <w:rsid w:val="00A84FE6"/>
    <w:rsid w:val="00A854D8"/>
    <w:rsid w:val="00A85818"/>
    <w:rsid w:val="00A87F14"/>
    <w:rsid w:val="00A90B92"/>
    <w:rsid w:val="00A90C44"/>
    <w:rsid w:val="00A914F3"/>
    <w:rsid w:val="00A91823"/>
    <w:rsid w:val="00A91BE6"/>
    <w:rsid w:val="00A93CD1"/>
    <w:rsid w:val="00AA1660"/>
    <w:rsid w:val="00AA4B9B"/>
    <w:rsid w:val="00AB0128"/>
    <w:rsid w:val="00AB0A72"/>
    <w:rsid w:val="00AB4534"/>
    <w:rsid w:val="00AB5A99"/>
    <w:rsid w:val="00AC1154"/>
    <w:rsid w:val="00AC1CC1"/>
    <w:rsid w:val="00AC2209"/>
    <w:rsid w:val="00AD0BC4"/>
    <w:rsid w:val="00AD2AF0"/>
    <w:rsid w:val="00AD2D43"/>
    <w:rsid w:val="00AD3845"/>
    <w:rsid w:val="00AD4CE3"/>
    <w:rsid w:val="00AD59D0"/>
    <w:rsid w:val="00AD5E57"/>
    <w:rsid w:val="00AD6A17"/>
    <w:rsid w:val="00AE3BBE"/>
    <w:rsid w:val="00AF0662"/>
    <w:rsid w:val="00AF30B1"/>
    <w:rsid w:val="00AF462C"/>
    <w:rsid w:val="00AF4A92"/>
    <w:rsid w:val="00AF5E40"/>
    <w:rsid w:val="00AF5FB1"/>
    <w:rsid w:val="00AF76B7"/>
    <w:rsid w:val="00AF7D69"/>
    <w:rsid w:val="00B02101"/>
    <w:rsid w:val="00B04108"/>
    <w:rsid w:val="00B04141"/>
    <w:rsid w:val="00B05903"/>
    <w:rsid w:val="00B06D70"/>
    <w:rsid w:val="00B07D01"/>
    <w:rsid w:val="00B118E0"/>
    <w:rsid w:val="00B12E23"/>
    <w:rsid w:val="00B13F75"/>
    <w:rsid w:val="00B14B51"/>
    <w:rsid w:val="00B157CD"/>
    <w:rsid w:val="00B15E0F"/>
    <w:rsid w:val="00B17B37"/>
    <w:rsid w:val="00B20166"/>
    <w:rsid w:val="00B224DB"/>
    <w:rsid w:val="00B2284C"/>
    <w:rsid w:val="00B232D4"/>
    <w:rsid w:val="00B236F8"/>
    <w:rsid w:val="00B248CA"/>
    <w:rsid w:val="00B2536F"/>
    <w:rsid w:val="00B25EAA"/>
    <w:rsid w:val="00B30876"/>
    <w:rsid w:val="00B30BCE"/>
    <w:rsid w:val="00B3130D"/>
    <w:rsid w:val="00B32432"/>
    <w:rsid w:val="00B33856"/>
    <w:rsid w:val="00B344D1"/>
    <w:rsid w:val="00B350F0"/>
    <w:rsid w:val="00B3761D"/>
    <w:rsid w:val="00B41BF1"/>
    <w:rsid w:val="00B42ECF"/>
    <w:rsid w:val="00B44750"/>
    <w:rsid w:val="00B44900"/>
    <w:rsid w:val="00B4541C"/>
    <w:rsid w:val="00B458C8"/>
    <w:rsid w:val="00B460EB"/>
    <w:rsid w:val="00B464DF"/>
    <w:rsid w:val="00B502E6"/>
    <w:rsid w:val="00B5085B"/>
    <w:rsid w:val="00B55E7A"/>
    <w:rsid w:val="00B55FD3"/>
    <w:rsid w:val="00B57E95"/>
    <w:rsid w:val="00B60154"/>
    <w:rsid w:val="00B61AF7"/>
    <w:rsid w:val="00B61F3B"/>
    <w:rsid w:val="00B63E28"/>
    <w:rsid w:val="00B64DB8"/>
    <w:rsid w:val="00B659A0"/>
    <w:rsid w:val="00B662F1"/>
    <w:rsid w:val="00B6654D"/>
    <w:rsid w:val="00B67339"/>
    <w:rsid w:val="00B71865"/>
    <w:rsid w:val="00B72782"/>
    <w:rsid w:val="00B72D94"/>
    <w:rsid w:val="00B7380E"/>
    <w:rsid w:val="00B73877"/>
    <w:rsid w:val="00B741CD"/>
    <w:rsid w:val="00B7447C"/>
    <w:rsid w:val="00B7509F"/>
    <w:rsid w:val="00B76574"/>
    <w:rsid w:val="00B830F8"/>
    <w:rsid w:val="00B84C15"/>
    <w:rsid w:val="00B87708"/>
    <w:rsid w:val="00B93D5F"/>
    <w:rsid w:val="00B94CDE"/>
    <w:rsid w:val="00B95192"/>
    <w:rsid w:val="00B95528"/>
    <w:rsid w:val="00BA297C"/>
    <w:rsid w:val="00BA6094"/>
    <w:rsid w:val="00BA64A2"/>
    <w:rsid w:val="00BB1DC1"/>
    <w:rsid w:val="00BB4019"/>
    <w:rsid w:val="00BC132A"/>
    <w:rsid w:val="00BC168E"/>
    <w:rsid w:val="00BC3E51"/>
    <w:rsid w:val="00BC505C"/>
    <w:rsid w:val="00BC5E24"/>
    <w:rsid w:val="00BC764D"/>
    <w:rsid w:val="00BD16EA"/>
    <w:rsid w:val="00BD1D05"/>
    <w:rsid w:val="00BD3C50"/>
    <w:rsid w:val="00BD4E03"/>
    <w:rsid w:val="00BD7F9C"/>
    <w:rsid w:val="00BE093C"/>
    <w:rsid w:val="00BE14E0"/>
    <w:rsid w:val="00BE3C57"/>
    <w:rsid w:val="00BE4984"/>
    <w:rsid w:val="00BE4EE0"/>
    <w:rsid w:val="00BE777E"/>
    <w:rsid w:val="00BF02D3"/>
    <w:rsid w:val="00BF0EBD"/>
    <w:rsid w:val="00BF151B"/>
    <w:rsid w:val="00BF1937"/>
    <w:rsid w:val="00BF426D"/>
    <w:rsid w:val="00BF4EC7"/>
    <w:rsid w:val="00BF50A9"/>
    <w:rsid w:val="00BF5CF6"/>
    <w:rsid w:val="00BF79C9"/>
    <w:rsid w:val="00C02FAB"/>
    <w:rsid w:val="00C0434C"/>
    <w:rsid w:val="00C04FBA"/>
    <w:rsid w:val="00C05C6E"/>
    <w:rsid w:val="00C10A59"/>
    <w:rsid w:val="00C11D79"/>
    <w:rsid w:val="00C126E1"/>
    <w:rsid w:val="00C13117"/>
    <w:rsid w:val="00C136E3"/>
    <w:rsid w:val="00C15531"/>
    <w:rsid w:val="00C15CE5"/>
    <w:rsid w:val="00C17F88"/>
    <w:rsid w:val="00C2136E"/>
    <w:rsid w:val="00C21AE9"/>
    <w:rsid w:val="00C23617"/>
    <w:rsid w:val="00C240B6"/>
    <w:rsid w:val="00C31756"/>
    <w:rsid w:val="00C31F7F"/>
    <w:rsid w:val="00C3279B"/>
    <w:rsid w:val="00C34061"/>
    <w:rsid w:val="00C367E2"/>
    <w:rsid w:val="00C36A3D"/>
    <w:rsid w:val="00C37E2F"/>
    <w:rsid w:val="00C42DBB"/>
    <w:rsid w:val="00C44420"/>
    <w:rsid w:val="00C4579F"/>
    <w:rsid w:val="00C52BA0"/>
    <w:rsid w:val="00C548A2"/>
    <w:rsid w:val="00C62095"/>
    <w:rsid w:val="00C624FF"/>
    <w:rsid w:val="00C644C6"/>
    <w:rsid w:val="00C6464F"/>
    <w:rsid w:val="00C66081"/>
    <w:rsid w:val="00C67377"/>
    <w:rsid w:val="00C6765C"/>
    <w:rsid w:val="00C676F1"/>
    <w:rsid w:val="00C73F59"/>
    <w:rsid w:val="00C74F29"/>
    <w:rsid w:val="00C757E0"/>
    <w:rsid w:val="00C75813"/>
    <w:rsid w:val="00C75C56"/>
    <w:rsid w:val="00C765DD"/>
    <w:rsid w:val="00C775DB"/>
    <w:rsid w:val="00C777F9"/>
    <w:rsid w:val="00C80BCF"/>
    <w:rsid w:val="00C81959"/>
    <w:rsid w:val="00C81C7D"/>
    <w:rsid w:val="00C8722D"/>
    <w:rsid w:val="00C91918"/>
    <w:rsid w:val="00C92D73"/>
    <w:rsid w:val="00C9602D"/>
    <w:rsid w:val="00C9708E"/>
    <w:rsid w:val="00CA4A72"/>
    <w:rsid w:val="00CA65F9"/>
    <w:rsid w:val="00CA70A1"/>
    <w:rsid w:val="00CB1A96"/>
    <w:rsid w:val="00CB2BCD"/>
    <w:rsid w:val="00CB36D7"/>
    <w:rsid w:val="00CB3F5C"/>
    <w:rsid w:val="00CB4F81"/>
    <w:rsid w:val="00CB57F7"/>
    <w:rsid w:val="00CB6749"/>
    <w:rsid w:val="00CC1535"/>
    <w:rsid w:val="00CC179A"/>
    <w:rsid w:val="00CC4209"/>
    <w:rsid w:val="00CC46C4"/>
    <w:rsid w:val="00CC5D82"/>
    <w:rsid w:val="00CC61C6"/>
    <w:rsid w:val="00CC6C0E"/>
    <w:rsid w:val="00CC7FBE"/>
    <w:rsid w:val="00CD1557"/>
    <w:rsid w:val="00CD2440"/>
    <w:rsid w:val="00CD2578"/>
    <w:rsid w:val="00CD352C"/>
    <w:rsid w:val="00CD702B"/>
    <w:rsid w:val="00CD7C57"/>
    <w:rsid w:val="00CE0B8E"/>
    <w:rsid w:val="00CE160D"/>
    <w:rsid w:val="00CE327F"/>
    <w:rsid w:val="00CE5649"/>
    <w:rsid w:val="00CF0DA5"/>
    <w:rsid w:val="00CF3A41"/>
    <w:rsid w:val="00D01070"/>
    <w:rsid w:val="00D018B4"/>
    <w:rsid w:val="00D02027"/>
    <w:rsid w:val="00D0479D"/>
    <w:rsid w:val="00D04E46"/>
    <w:rsid w:val="00D05684"/>
    <w:rsid w:val="00D059C8"/>
    <w:rsid w:val="00D10101"/>
    <w:rsid w:val="00D1142C"/>
    <w:rsid w:val="00D12397"/>
    <w:rsid w:val="00D14B9A"/>
    <w:rsid w:val="00D16AE0"/>
    <w:rsid w:val="00D16B05"/>
    <w:rsid w:val="00D207EF"/>
    <w:rsid w:val="00D20BFD"/>
    <w:rsid w:val="00D210E6"/>
    <w:rsid w:val="00D21BD3"/>
    <w:rsid w:val="00D229A9"/>
    <w:rsid w:val="00D23CC0"/>
    <w:rsid w:val="00D2609D"/>
    <w:rsid w:val="00D261E7"/>
    <w:rsid w:val="00D26383"/>
    <w:rsid w:val="00D26939"/>
    <w:rsid w:val="00D3123F"/>
    <w:rsid w:val="00D31A08"/>
    <w:rsid w:val="00D32336"/>
    <w:rsid w:val="00D3238E"/>
    <w:rsid w:val="00D328A3"/>
    <w:rsid w:val="00D34895"/>
    <w:rsid w:val="00D37A24"/>
    <w:rsid w:val="00D41A8A"/>
    <w:rsid w:val="00D4206D"/>
    <w:rsid w:val="00D42125"/>
    <w:rsid w:val="00D42C5B"/>
    <w:rsid w:val="00D46022"/>
    <w:rsid w:val="00D47CCE"/>
    <w:rsid w:val="00D539F2"/>
    <w:rsid w:val="00D53A3C"/>
    <w:rsid w:val="00D55D57"/>
    <w:rsid w:val="00D568BA"/>
    <w:rsid w:val="00D57A95"/>
    <w:rsid w:val="00D62208"/>
    <w:rsid w:val="00D628D5"/>
    <w:rsid w:val="00D62E87"/>
    <w:rsid w:val="00D646C9"/>
    <w:rsid w:val="00D651F7"/>
    <w:rsid w:val="00D66DD7"/>
    <w:rsid w:val="00D677AE"/>
    <w:rsid w:val="00D713F6"/>
    <w:rsid w:val="00D729AB"/>
    <w:rsid w:val="00D73205"/>
    <w:rsid w:val="00D73825"/>
    <w:rsid w:val="00D74371"/>
    <w:rsid w:val="00D77528"/>
    <w:rsid w:val="00D80890"/>
    <w:rsid w:val="00D80E18"/>
    <w:rsid w:val="00D824F1"/>
    <w:rsid w:val="00D82521"/>
    <w:rsid w:val="00D82D13"/>
    <w:rsid w:val="00D82ECE"/>
    <w:rsid w:val="00D83C3E"/>
    <w:rsid w:val="00D84173"/>
    <w:rsid w:val="00D85A3D"/>
    <w:rsid w:val="00D8647C"/>
    <w:rsid w:val="00D90239"/>
    <w:rsid w:val="00D918E1"/>
    <w:rsid w:val="00D919E2"/>
    <w:rsid w:val="00D920AD"/>
    <w:rsid w:val="00D94C3D"/>
    <w:rsid w:val="00D95F2B"/>
    <w:rsid w:val="00DA27F4"/>
    <w:rsid w:val="00DA2E3F"/>
    <w:rsid w:val="00DA3080"/>
    <w:rsid w:val="00DA395D"/>
    <w:rsid w:val="00DA516E"/>
    <w:rsid w:val="00DA521E"/>
    <w:rsid w:val="00DA7629"/>
    <w:rsid w:val="00DB1C54"/>
    <w:rsid w:val="00DB2B66"/>
    <w:rsid w:val="00DB2FC3"/>
    <w:rsid w:val="00DB30DF"/>
    <w:rsid w:val="00DB657D"/>
    <w:rsid w:val="00DC10E4"/>
    <w:rsid w:val="00DC24F5"/>
    <w:rsid w:val="00DC3604"/>
    <w:rsid w:val="00DC62C0"/>
    <w:rsid w:val="00DD2856"/>
    <w:rsid w:val="00DD449D"/>
    <w:rsid w:val="00DD5419"/>
    <w:rsid w:val="00DD69EE"/>
    <w:rsid w:val="00DE18E6"/>
    <w:rsid w:val="00DE4001"/>
    <w:rsid w:val="00DE5A88"/>
    <w:rsid w:val="00DE5E51"/>
    <w:rsid w:val="00DE64A1"/>
    <w:rsid w:val="00DE7A20"/>
    <w:rsid w:val="00DF0EE9"/>
    <w:rsid w:val="00DF3A55"/>
    <w:rsid w:val="00DF4B86"/>
    <w:rsid w:val="00DF4FFC"/>
    <w:rsid w:val="00DF5D2F"/>
    <w:rsid w:val="00E014B2"/>
    <w:rsid w:val="00E01ADA"/>
    <w:rsid w:val="00E01BC8"/>
    <w:rsid w:val="00E02C4C"/>
    <w:rsid w:val="00E04246"/>
    <w:rsid w:val="00E0674D"/>
    <w:rsid w:val="00E067EB"/>
    <w:rsid w:val="00E07907"/>
    <w:rsid w:val="00E079D4"/>
    <w:rsid w:val="00E10F9D"/>
    <w:rsid w:val="00E11336"/>
    <w:rsid w:val="00E12A8E"/>
    <w:rsid w:val="00E17E10"/>
    <w:rsid w:val="00E20D5F"/>
    <w:rsid w:val="00E224DE"/>
    <w:rsid w:val="00E2573D"/>
    <w:rsid w:val="00E25788"/>
    <w:rsid w:val="00E30881"/>
    <w:rsid w:val="00E31BC0"/>
    <w:rsid w:val="00E32CB6"/>
    <w:rsid w:val="00E33726"/>
    <w:rsid w:val="00E33EF6"/>
    <w:rsid w:val="00E35BB0"/>
    <w:rsid w:val="00E3693C"/>
    <w:rsid w:val="00E36B7F"/>
    <w:rsid w:val="00E36C96"/>
    <w:rsid w:val="00E407B5"/>
    <w:rsid w:val="00E40A4A"/>
    <w:rsid w:val="00E419A0"/>
    <w:rsid w:val="00E44522"/>
    <w:rsid w:val="00E46C45"/>
    <w:rsid w:val="00E513A2"/>
    <w:rsid w:val="00E532A9"/>
    <w:rsid w:val="00E53972"/>
    <w:rsid w:val="00E563F1"/>
    <w:rsid w:val="00E569AC"/>
    <w:rsid w:val="00E56CB9"/>
    <w:rsid w:val="00E60694"/>
    <w:rsid w:val="00E61E4F"/>
    <w:rsid w:val="00E63052"/>
    <w:rsid w:val="00E658F5"/>
    <w:rsid w:val="00E676E5"/>
    <w:rsid w:val="00E705BE"/>
    <w:rsid w:val="00E736E9"/>
    <w:rsid w:val="00E77771"/>
    <w:rsid w:val="00E81BCB"/>
    <w:rsid w:val="00E82286"/>
    <w:rsid w:val="00E82F19"/>
    <w:rsid w:val="00E83546"/>
    <w:rsid w:val="00E857B0"/>
    <w:rsid w:val="00E9045D"/>
    <w:rsid w:val="00E953D6"/>
    <w:rsid w:val="00E97A98"/>
    <w:rsid w:val="00EA2D25"/>
    <w:rsid w:val="00EA388F"/>
    <w:rsid w:val="00EA46B3"/>
    <w:rsid w:val="00EA65D7"/>
    <w:rsid w:val="00EB0470"/>
    <w:rsid w:val="00EB0B83"/>
    <w:rsid w:val="00EB0EE9"/>
    <w:rsid w:val="00EB1B0E"/>
    <w:rsid w:val="00EB23CD"/>
    <w:rsid w:val="00EB263D"/>
    <w:rsid w:val="00EB2E2F"/>
    <w:rsid w:val="00EB315F"/>
    <w:rsid w:val="00EB4097"/>
    <w:rsid w:val="00EB435F"/>
    <w:rsid w:val="00EB7421"/>
    <w:rsid w:val="00EC0C5D"/>
    <w:rsid w:val="00EC2EC2"/>
    <w:rsid w:val="00EC2F14"/>
    <w:rsid w:val="00EC511D"/>
    <w:rsid w:val="00EC5195"/>
    <w:rsid w:val="00EC5B6F"/>
    <w:rsid w:val="00EC701B"/>
    <w:rsid w:val="00ED0545"/>
    <w:rsid w:val="00ED0857"/>
    <w:rsid w:val="00ED14F4"/>
    <w:rsid w:val="00ED1847"/>
    <w:rsid w:val="00ED39B6"/>
    <w:rsid w:val="00ED3F2C"/>
    <w:rsid w:val="00ED43C5"/>
    <w:rsid w:val="00ED56B5"/>
    <w:rsid w:val="00ED69D4"/>
    <w:rsid w:val="00EE4160"/>
    <w:rsid w:val="00EE7EB6"/>
    <w:rsid w:val="00EF0FA4"/>
    <w:rsid w:val="00EF46D7"/>
    <w:rsid w:val="00EF6AB2"/>
    <w:rsid w:val="00F003A7"/>
    <w:rsid w:val="00F01A27"/>
    <w:rsid w:val="00F05CA5"/>
    <w:rsid w:val="00F07891"/>
    <w:rsid w:val="00F07AE6"/>
    <w:rsid w:val="00F106FA"/>
    <w:rsid w:val="00F1263A"/>
    <w:rsid w:val="00F12C65"/>
    <w:rsid w:val="00F13E44"/>
    <w:rsid w:val="00F163EB"/>
    <w:rsid w:val="00F16F47"/>
    <w:rsid w:val="00F1789E"/>
    <w:rsid w:val="00F213DA"/>
    <w:rsid w:val="00F252D0"/>
    <w:rsid w:val="00F26066"/>
    <w:rsid w:val="00F27488"/>
    <w:rsid w:val="00F274F7"/>
    <w:rsid w:val="00F312ED"/>
    <w:rsid w:val="00F331FF"/>
    <w:rsid w:val="00F34EAC"/>
    <w:rsid w:val="00F350BA"/>
    <w:rsid w:val="00F35BA9"/>
    <w:rsid w:val="00F37717"/>
    <w:rsid w:val="00F446F1"/>
    <w:rsid w:val="00F51E84"/>
    <w:rsid w:val="00F51EBA"/>
    <w:rsid w:val="00F53863"/>
    <w:rsid w:val="00F574B9"/>
    <w:rsid w:val="00F57C06"/>
    <w:rsid w:val="00F6697A"/>
    <w:rsid w:val="00F66BF1"/>
    <w:rsid w:val="00F74E70"/>
    <w:rsid w:val="00F7641E"/>
    <w:rsid w:val="00F76C9B"/>
    <w:rsid w:val="00F80CC1"/>
    <w:rsid w:val="00F819E7"/>
    <w:rsid w:val="00F83F23"/>
    <w:rsid w:val="00F85FD1"/>
    <w:rsid w:val="00F86EDF"/>
    <w:rsid w:val="00F87116"/>
    <w:rsid w:val="00F9128F"/>
    <w:rsid w:val="00F93AD8"/>
    <w:rsid w:val="00F959F2"/>
    <w:rsid w:val="00FA187E"/>
    <w:rsid w:val="00FA3DFE"/>
    <w:rsid w:val="00FA6ABC"/>
    <w:rsid w:val="00FA7488"/>
    <w:rsid w:val="00FA74FF"/>
    <w:rsid w:val="00FB01F8"/>
    <w:rsid w:val="00FB7087"/>
    <w:rsid w:val="00FB723F"/>
    <w:rsid w:val="00FB7672"/>
    <w:rsid w:val="00FC40F7"/>
    <w:rsid w:val="00FD0340"/>
    <w:rsid w:val="00FD19A9"/>
    <w:rsid w:val="00FD1BE5"/>
    <w:rsid w:val="00FD412B"/>
    <w:rsid w:val="00FD4331"/>
    <w:rsid w:val="00FD538A"/>
    <w:rsid w:val="00FD6622"/>
    <w:rsid w:val="00FD691A"/>
    <w:rsid w:val="00FD6A02"/>
    <w:rsid w:val="00FE038C"/>
    <w:rsid w:val="00FE24A2"/>
    <w:rsid w:val="00FE2A1F"/>
    <w:rsid w:val="00FE4F20"/>
    <w:rsid w:val="00FE56B4"/>
    <w:rsid w:val="00FE786B"/>
    <w:rsid w:val="00FE7942"/>
    <w:rsid w:val="00FF0170"/>
    <w:rsid w:val="00FF1493"/>
    <w:rsid w:val="00FF1769"/>
    <w:rsid w:val="00FF1F92"/>
    <w:rsid w:val="00FF28DF"/>
    <w:rsid w:val="00FF2EC2"/>
    <w:rsid w:val="00FF34C6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19301"/>
  <w15:docId w15:val="{4E789075-39C1-4DD4-862D-EB1899C0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C3CD2"/>
    <w:rPr>
      <w:color w:val="800080"/>
      <w:u w:val="single"/>
    </w:rPr>
  </w:style>
  <w:style w:type="paragraph" w:customStyle="1" w:styleId="msonormal0">
    <w:name w:val="msonormal"/>
    <w:basedOn w:val="Normal"/>
    <w:rsid w:val="008C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8C3CD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8C3CD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8C3CD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35633">
    <w:name w:val="xl35633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4">
    <w:name w:val="xl35634"/>
    <w:basedOn w:val="Normal"/>
    <w:rsid w:val="008C3CD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5">
    <w:name w:val="xl35635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C00000"/>
      <w:sz w:val="24"/>
      <w:szCs w:val="24"/>
    </w:rPr>
  </w:style>
  <w:style w:type="paragraph" w:customStyle="1" w:styleId="xl35636">
    <w:name w:val="xl35636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7">
    <w:name w:val="xl35637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8">
    <w:name w:val="xl35638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9">
    <w:name w:val="xl35639"/>
    <w:basedOn w:val="Normal"/>
    <w:rsid w:val="008C3CD2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640">
    <w:name w:val="xl35640"/>
    <w:basedOn w:val="Normal"/>
    <w:rsid w:val="008C3CD2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1">
    <w:name w:val="xl35641"/>
    <w:basedOn w:val="Normal"/>
    <w:rsid w:val="008C3CD2"/>
    <w:pPr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2">
    <w:name w:val="xl35642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3">
    <w:name w:val="xl35643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4">
    <w:name w:val="xl35644"/>
    <w:basedOn w:val="Normal"/>
    <w:rsid w:val="008C3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5">
    <w:name w:val="xl35645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6">
    <w:name w:val="xl35646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7">
    <w:name w:val="xl35647"/>
    <w:basedOn w:val="Normal"/>
    <w:rsid w:val="008C3C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8">
    <w:name w:val="xl35648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9">
    <w:name w:val="xl35649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0">
    <w:name w:val="xl35650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1">
    <w:name w:val="xl35651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2">
    <w:name w:val="xl35652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3">
    <w:name w:val="xl3565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4">
    <w:name w:val="xl35654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5">
    <w:name w:val="xl35655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6">
    <w:name w:val="xl35656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7">
    <w:name w:val="xl35657"/>
    <w:basedOn w:val="Normal"/>
    <w:rsid w:val="008C3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8">
    <w:name w:val="xl35658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9">
    <w:name w:val="xl35659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0">
    <w:name w:val="xl35660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1">
    <w:name w:val="xl35661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2">
    <w:name w:val="xl35662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3">
    <w:name w:val="xl3566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4">
    <w:name w:val="xl35664"/>
    <w:basedOn w:val="Normal"/>
    <w:rsid w:val="008C3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65">
    <w:name w:val="xl35665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6">
    <w:name w:val="xl35666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7">
    <w:name w:val="xl35667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8">
    <w:name w:val="xl35668"/>
    <w:basedOn w:val="Normal"/>
    <w:rsid w:val="008C3CD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9">
    <w:name w:val="xl35669"/>
    <w:basedOn w:val="Normal"/>
    <w:rsid w:val="008C3CD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0">
    <w:name w:val="xl35670"/>
    <w:basedOn w:val="Normal"/>
    <w:rsid w:val="008C3C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1">
    <w:name w:val="xl35671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2">
    <w:name w:val="xl35672"/>
    <w:basedOn w:val="Normal"/>
    <w:rsid w:val="008C3CD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3">
    <w:name w:val="xl35673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4">
    <w:name w:val="xl35674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5">
    <w:name w:val="xl35675"/>
    <w:basedOn w:val="Normal"/>
    <w:rsid w:val="008C3CD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76">
    <w:name w:val="xl35676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7">
    <w:name w:val="xl35677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8">
    <w:name w:val="xl35678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79">
    <w:name w:val="xl35679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0">
    <w:name w:val="xl35680"/>
    <w:basedOn w:val="Normal"/>
    <w:rsid w:val="008C3CD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1">
    <w:name w:val="xl35681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2">
    <w:name w:val="xl35682"/>
    <w:basedOn w:val="Normal"/>
    <w:rsid w:val="008C3C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3">
    <w:name w:val="xl3568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4">
    <w:name w:val="xl35684"/>
    <w:basedOn w:val="Normal"/>
    <w:rsid w:val="008C3C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5">
    <w:name w:val="xl35685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6">
    <w:name w:val="xl35686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7">
    <w:name w:val="xl35687"/>
    <w:basedOn w:val="Normal"/>
    <w:rsid w:val="008C3C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8">
    <w:name w:val="xl35688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9">
    <w:name w:val="xl35689"/>
    <w:basedOn w:val="Normal"/>
    <w:rsid w:val="008C3C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90">
    <w:name w:val="xl35690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91">
    <w:name w:val="xl35691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2">
    <w:name w:val="xl35692"/>
    <w:basedOn w:val="Normal"/>
    <w:rsid w:val="008C3C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3">
    <w:name w:val="xl3569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4">
    <w:name w:val="xl35694"/>
    <w:basedOn w:val="Normal"/>
    <w:rsid w:val="008C3CD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5">
    <w:name w:val="xl35695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6">
    <w:name w:val="xl35696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7">
    <w:name w:val="xl35697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8">
    <w:name w:val="xl35698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9">
    <w:name w:val="xl35699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0">
    <w:name w:val="xl35700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01">
    <w:name w:val="xl35701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02">
    <w:name w:val="xl35702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03">
    <w:name w:val="xl35703"/>
    <w:basedOn w:val="Normal"/>
    <w:rsid w:val="008C3CD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4">
    <w:name w:val="xl35704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5">
    <w:name w:val="xl35705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6">
    <w:name w:val="xl35706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07">
    <w:name w:val="xl35707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8">
    <w:name w:val="xl35708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9">
    <w:name w:val="xl35709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0">
    <w:name w:val="xl35710"/>
    <w:basedOn w:val="Normal"/>
    <w:rsid w:val="008C3CD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1">
    <w:name w:val="xl35711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2">
    <w:name w:val="xl35712"/>
    <w:basedOn w:val="Normal"/>
    <w:rsid w:val="008C3CD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3">
    <w:name w:val="xl35713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4">
    <w:name w:val="xl35714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5">
    <w:name w:val="xl35715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6">
    <w:name w:val="xl35716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7">
    <w:name w:val="xl35717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8">
    <w:name w:val="xl35718"/>
    <w:basedOn w:val="Normal"/>
    <w:rsid w:val="008C3CD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9">
    <w:name w:val="xl35719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0">
    <w:name w:val="xl35720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1">
    <w:name w:val="xl35721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2">
    <w:name w:val="xl35722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3">
    <w:name w:val="xl35723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4">
    <w:name w:val="xl35724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5">
    <w:name w:val="xl35725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6">
    <w:name w:val="xl35726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7">
    <w:name w:val="xl35727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8">
    <w:name w:val="xl35728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9">
    <w:name w:val="xl35729"/>
    <w:basedOn w:val="Normal"/>
    <w:rsid w:val="008C3CD2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30">
    <w:name w:val="xl35730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1">
    <w:name w:val="xl35731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32">
    <w:name w:val="xl35732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3">
    <w:name w:val="xl35733"/>
    <w:basedOn w:val="Normal"/>
    <w:rsid w:val="008C3CD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4">
    <w:name w:val="xl35734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5">
    <w:name w:val="xl35735"/>
    <w:basedOn w:val="Normal"/>
    <w:rsid w:val="008C3CD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6">
    <w:name w:val="xl35736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7">
    <w:name w:val="xl35737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8">
    <w:name w:val="xl35738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9">
    <w:name w:val="xl35739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0">
    <w:name w:val="xl35740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1">
    <w:name w:val="xl35741"/>
    <w:basedOn w:val="Normal"/>
    <w:rsid w:val="008C3CD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2">
    <w:name w:val="xl35742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3">
    <w:name w:val="xl35743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4">
    <w:name w:val="xl35744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5">
    <w:name w:val="xl35745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6">
    <w:name w:val="xl35746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7">
    <w:name w:val="xl35747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8">
    <w:name w:val="xl35748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9">
    <w:name w:val="xl35749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0">
    <w:name w:val="xl35750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1">
    <w:name w:val="xl35751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2">
    <w:name w:val="xl35752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3">
    <w:name w:val="xl35753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4">
    <w:name w:val="xl35754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5">
    <w:name w:val="xl35755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6">
    <w:name w:val="xl35756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7">
    <w:name w:val="xl35757"/>
    <w:basedOn w:val="Normal"/>
    <w:rsid w:val="008C3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8">
    <w:name w:val="xl35758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9">
    <w:name w:val="xl35759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60">
    <w:name w:val="xl35760"/>
    <w:basedOn w:val="Normal"/>
    <w:rsid w:val="008C3CD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1">
    <w:name w:val="xl35761"/>
    <w:basedOn w:val="Normal"/>
    <w:rsid w:val="008C3CD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2">
    <w:name w:val="xl35762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3">
    <w:name w:val="xl35763"/>
    <w:basedOn w:val="Normal"/>
    <w:rsid w:val="008C3C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4">
    <w:name w:val="xl35764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5">
    <w:name w:val="xl35765"/>
    <w:basedOn w:val="Normal"/>
    <w:rsid w:val="008C3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6">
    <w:name w:val="xl35766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7">
    <w:name w:val="xl35767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8">
    <w:name w:val="xl35768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9">
    <w:name w:val="xl35769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0">
    <w:name w:val="xl35770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1">
    <w:name w:val="xl35771"/>
    <w:basedOn w:val="Normal"/>
    <w:rsid w:val="008C3CD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2">
    <w:name w:val="xl35772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3">
    <w:name w:val="xl35773"/>
    <w:basedOn w:val="Normal"/>
    <w:rsid w:val="008C3CD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4">
    <w:name w:val="xl35774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5">
    <w:name w:val="xl35775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6">
    <w:name w:val="xl35776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7">
    <w:name w:val="xl35777"/>
    <w:basedOn w:val="Normal"/>
    <w:rsid w:val="008C3CD2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78">
    <w:name w:val="xl35778"/>
    <w:basedOn w:val="Normal"/>
    <w:rsid w:val="008C3CD2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79">
    <w:name w:val="xl35779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80">
    <w:name w:val="xl35780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81">
    <w:name w:val="xl35781"/>
    <w:basedOn w:val="Normal"/>
    <w:rsid w:val="008C3CD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2">
    <w:name w:val="xl35782"/>
    <w:basedOn w:val="Normal"/>
    <w:rsid w:val="008C3CD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3">
    <w:name w:val="xl35783"/>
    <w:basedOn w:val="Normal"/>
    <w:rsid w:val="008C3C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4">
    <w:name w:val="xl35784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5">
    <w:name w:val="xl35785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6">
    <w:name w:val="xl35786"/>
    <w:basedOn w:val="Normal"/>
    <w:rsid w:val="008C3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7">
    <w:name w:val="xl35787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8">
    <w:name w:val="xl35788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9">
    <w:name w:val="xl35789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0">
    <w:name w:val="xl35790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1">
    <w:name w:val="xl35791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2">
    <w:name w:val="xl35792"/>
    <w:basedOn w:val="Normal"/>
    <w:rsid w:val="008C3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3">
    <w:name w:val="xl35793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4">
    <w:name w:val="xl35794"/>
    <w:basedOn w:val="Normal"/>
    <w:rsid w:val="008C3CD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95">
    <w:name w:val="xl35795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6">
    <w:name w:val="xl35796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228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228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82286"/>
    <w:rPr>
      <w:vertAlign w:val="superscript"/>
    </w:rPr>
  </w:style>
  <w:style w:type="paragraph" w:customStyle="1" w:styleId="xl35631">
    <w:name w:val="xl35631"/>
    <w:basedOn w:val="Normal"/>
    <w:rsid w:val="00C624F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2">
    <w:name w:val="xl35632"/>
    <w:basedOn w:val="Normal"/>
    <w:rsid w:val="00C624F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MAR\report\Average%20Weighted%20Interest%20Rate_2020%20MAR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anana.kharchilava\Desktop\SEP\Report\Average%20Weighted%20Interest%20Rate_2020%2030%20SEP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SEP\Report\Average%20Weighted%20Interest%20Rate_2020%2030%20SEP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3289362469298831E-2"/>
          <c:y val="0.10064981982793048"/>
          <c:w val="0.98634422421335266"/>
          <c:h val="0.89875897588273168"/>
        </c:manualLayout>
      </c:layout>
      <c:ofPieChart>
        <c:ofPieType val="bar"/>
        <c:varyColors val="1"/>
        <c:ser>
          <c:idx val="0"/>
          <c:order val="0"/>
          <c:tx>
            <c:strRef>
              <c:f>'GVT მარტი'!$P$32</c:f>
              <c:strCache>
                <c:ptCount val="1"/>
                <c:pt idx="0">
                  <c:v> საშინაო </c:v>
                </c:pt>
              </c:strCache>
            </c:strRef>
          </c:tx>
          <c:spPr>
            <a:ln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 w="88900"/>
            </a:sp3d>
          </c:spPr>
          <c:dPt>
            <c:idx val="0"/>
            <c:bubble3D val="0"/>
            <c:explosion val="4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1-6C6F-44DC-B449-9671B51A1B2E}"/>
              </c:ext>
            </c:extLst>
          </c:dPt>
          <c:dPt>
            <c:idx val="1"/>
            <c:bubble3D val="0"/>
            <c:spPr>
              <a:solidFill>
                <a:srgbClr val="A5C6F7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3-6C6F-44DC-B449-9671B51A1B2E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5-6C6F-44DC-B449-9671B51A1B2E}"/>
              </c:ext>
            </c:extLst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7-6C6F-44DC-B449-9671B51A1B2E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9-6C6F-44DC-B449-9671B51A1B2E}"/>
              </c:ext>
            </c:extLst>
          </c:dPt>
          <c:dPt>
            <c:idx val="5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B-6C6F-44DC-B449-9671B51A1B2E}"/>
              </c:ext>
            </c:extLst>
          </c:dPt>
          <c:dLbls>
            <c:dLbl>
              <c:idx val="0"/>
              <c:layout>
                <c:manualLayout>
                  <c:x val="0.11114534388923454"/>
                  <c:y val="5.1229518640267058E-3"/>
                </c:manualLayout>
              </c:layout>
              <c:tx>
                <c:rich>
                  <a:bodyPr/>
                  <a:lstStyle/>
                  <a:p>
                    <a:r>
                      <a:rPr lang="ka-GE" sz="900"/>
                      <a:t> საშინაო 
27%</a:t>
                    </a:r>
                    <a:endParaRPr lang="ka-GE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6F-44DC-B449-9671B51A1B2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მ</a:t>
                    </a:r>
                    <a:r>
                      <a:rPr lang="ka-GE" sz="750">
                        <a:solidFill>
                          <a:sysClr val="windowText" lastClr="000000"/>
                        </a:solidFill>
                      </a:rPr>
                      <a:t>რავალმხრივი</a:t>
                    </a: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
54%</a:t>
                    </a:r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6F-44DC-B449-9671B51A1B2E}"/>
                </c:ext>
              </c:extLst>
            </c:dLbl>
            <c:dLbl>
              <c:idx val="2"/>
              <c:layout>
                <c:manualLayout>
                  <c:x val="-8.4331638381714522E-2"/>
                  <c:y val="2.5206641915874496E-2"/>
                </c:manualLayout>
              </c:layout>
              <c:tx>
                <c:rich>
                  <a:bodyPr/>
                  <a:lstStyle/>
                  <a:p>
                    <a:fld id="{A12E743F-15B9-46A9-B71D-F6AD22838EBC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14%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369663941871029"/>
                      <c:h val="0.216234887737478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C6F-44DC-B449-9671B51A1B2E}"/>
                </c:ext>
              </c:extLst>
            </c:dLbl>
            <c:dLbl>
              <c:idx val="3"/>
              <c:layout>
                <c:manualLayout>
                  <c:x val="-6.677208264498273E-2"/>
                  <c:y val="-6.3299470985817155E-3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fld id="{2487489D-5AE6-42DF-A20C-711714267CF7}" type="CATEGORYNAME">
                      <a:rPr lang="ka-GE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  <a:latin typeface="Calibri" pitchFamily="34" charset="0"/>
                        </a:defRPr>
                      </a:pPr>
                      <a:t>[CATEGORY NAME]</a:t>
                    </a:fld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 5</a:t>
                    </a:r>
                    <a:r>
                      <a:rPr lang="ka-GE" sz="800" baseline="0">
                        <a:solidFill>
                          <a:sysClr val="windowText" lastClr="000000"/>
                        </a:solidFill>
                      </a:rPr>
                      <a:t>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415470809602342"/>
                      <c:h val="9.590088475814566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C6F-44DC-B449-9671B51A1B2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C6F-44DC-B449-9671B51A1B2E}"/>
                </c:ext>
              </c:extLst>
            </c:dLbl>
            <c:dLbl>
              <c:idx val="5"/>
              <c:layout>
                <c:manualLayout>
                  <c:x val="-0.1925103163194519"/>
                  <c:y val="-4.9322073082833555E-3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 dirty="0">
                        <a:solidFill>
                          <a:sysClr val="windowText" lastClr="000000"/>
                        </a:solidFill>
                      </a:rPr>
                      <a:t>საგარეო
73%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958234103570837"/>
                      <c:h val="0.2853195164075992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6C6F-44DC-B449-9671B51A1B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'GVT მარტი'!$P$32:$P$36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'GVT მარტი'!$Q$32:$Q$36</c:f>
              <c:numCache>
                <c:formatCode>_(* #,##0_);_(* \(#,##0\);_(* "-"??_);_(@_)</c:formatCode>
                <c:ptCount val="5"/>
                <c:pt idx="0">
                  <c:v>4511786.9675800009</c:v>
                </c:pt>
                <c:pt idx="1">
                  <c:v>12779704.201760996</c:v>
                </c:pt>
                <c:pt idx="2">
                  <c:v>3448798.7942369478</c:v>
                </c:pt>
                <c:pt idx="3">
                  <c:v>1642250</c:v>
                </c:pt>
                <c:pt idx="4">
                  <c:v>5456.7829030000003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C6F-44DC-B449-9671B51A1B2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66"/>
        <c:splitType val="pos"/>
        <c:splitPos val="4"/>
        <c:secondPieSize val="99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81"/>
      <c:rAngAx val="0"/>
      <c:perspective val="4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60432412503621"/>
          <c:y val="0.21857398002764447"/>
          <c:w val="0.75557434070346507"/>
          <c:h val="0.75373824293183511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8"/>
          <c:dPt>
            <c:idx val="0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0C0A-4870-BB87-F760E8416639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0C0A-4870-BB87-F760E8416639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0C0A-4870-BB87-F760E8416639}"/>
              </c:ext>
            </c:extLst>
          </c:dPt>
          <c:dLbls>
            <c:dLbl>
              <c:idx val="0"/>
              <c:layout>
                <c:manualLayout>
                  <c:x val="-0.1923726852868736"/>
                  <c:y val="-0.23747377987245261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B8851A37-5CBB-4251-932D-6F2802A5BA3A}" type="CATEGORYNAME">
                      <a:rPr lang="en-US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 59%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C0A-4870-BB87-F760E8416639}"/>
                </c:ext>
              </c:extLst>
            </c:dLbl>
            <c:dLbl>
              <c:idx val="1"/>
              <c:layout>
                <c:manualLayout>
                  <c:x val="0.17752514359275701"/>
                  <c:y val="1.390859915355055E-2"/>
                </c:manualLayout>
              </c:layout>
              <c:tx>
                <c:rich>
                  <a:bodyPr/>
                  <a:lstStyle/>
                  <a:p>
                    <a:fld id="{29E22B1F-B95F-4EFF-989E-71FB85A56E5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16%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C0A-4870-BB87-F760E8416639}"/>
                </c:ext>
              </c:extLst>
            </c:dLbl>
            <c:dLbl>
              <c:idx val="2"/>
              <c:layout>
                <c:manualLayout>
                  <c:x val="-9.9618854873958509E-2"/>
                  <c:y val="0.16823122719416167"/>
                </c:manualLayout>
              </c:layout>
              <c:tx>
                <c:rich>
                  <a:bodyPr/>
                  <a:lstStyle/>
                  <a:p>
                    <a:fld id="{3447E3D4-17F7-40DD-A961-DC32346E58DD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24%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C0A-4870-BB87-F760E841663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AEBC6395-5835-4021-A35A-5169D06BA24C}" type="CATEGORYNAME">
                      <a:rPr lang="ka-GE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baseline="0"/>
                      <a:t> 2%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0C0A-4870-BB87-F760E8416639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GVT'!$K$50:$K$53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GVT'!$M$50:$M$53</c:f>
              <c:numCache>
                <c:formatCode>0%</c:formatCode>
                <c:ptCount val="4"/>
                <c:pt idx="0">
                  <c:v>0.40107294968308599</c:v>
                </c:pt>
                <c:pt idx="1">
                  <c:v>0.27835553405207042</c:v>
                </c:pt>
                <c:pt idx="2">
                  <c:v>0.28617519690379645</c:v>
                </c:pt>
                <c:pt idx="3">
                  <c:v>3.4396319361047256E-2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C0A-4870-BB87-F760E8416639}"/>
            </c:ext>
          </c:extLst>
        </c:ser>
        <c:ser>
          <c:idx val="1"/>
          <c:order val="1"/>
          <c:explosion val="25"/>
          <c:cat>
            <c:strRef>
              <c:f>'SEP-20 GVT'!$K$50:$K$53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GVT'!$M$49:$M$53</c:f>
              <c:numCache>
                <c:formatCode>0%</c:formatCode>
                <c:ptCount val="5"/>
                <c:pt idx="1">
                  <c:v>0.40107294968308599</c:v>
                </c:pt>
                <c:pt idx="2">
                  <c:v>0.27835553405207042</c:v>
                </c:pt>
                <c:pt idx="3">
                  <c:v>0.28617519690379645</c:v>
                </c:pt>
                <c:pt idx="4">
                  <c:v>3.4396319361047256E-2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C0A-4870-BB87-F760E84166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 rot="0"/>
          <a:lstStyle/>
          <a:p>
            <a:pPr algn="ctr">
              <a:defRPr sz="900" b="0">
                <a:solidFill>
                  <a:sysClr val="windowText" lastClr="000000"/>
                </a:solidFill>
                <a:latin typeface="Calibri" panose="020F0502020204030204" pitchFamily="34" charset="0"/>
                <a:cs typeface="Calibri" panose="020F0502020204030204" pitchFamily="34" charset="0"/>
              </a:defRPr>
            </a:pPr>
            <a:r>
              <a:rPr lang="ka-GE" sz="900" b="0">
                <a:solidFill>
                  <a:sysClr val="windowText" lastClr="000000"/>
                </a:solidFill>
                <a:latin typeface="Calibri" panose="020F0502020204030204" pitchFamily="34" charset="0"/>
                <a:cs typeface="Calibri" panose="020F0502020204030204" pitchFamily="34" charset="0"/>
              </a:rPr>
              <a:t>საპროცენტო განაკვეთის ტიპი</a:t>
            </a:r>
            <a:endParaRPr lang="en-US" sz="900" b="0">
              <a:solidFill>
                <a:sysClr val="windowText" lastClr="000000"/>
              </a:solidFill>
              <a:latin typeface="Calibri" panose="020F0502020204030204" pitchFamily="34" charset="0"/>
              <a:cs typeface="Calibri" panose="020F0502020204030204" pitchFamily="34" charset="0"/>
            </a:endParaRPr>
          </a:p>
        </c:rich>
      </c:tx>
      <c:layout>
        <c:manualLayout>
          <c:xMode val="edge"/>
          <c:yMode val="edge"/>
          <c:x val="0.20741229335861813"/>
          <c:y val="0"/>
        </c:manualLayout>
      </c:layout>
      <c:overlay val="0"/>
      <c:spPr>
        <a:ln>
          <a:noFill/>
        </a:ln>
      </c:spPr>
    </c:title>
    <c:autoTitleDeleted val="0"/>
    <c:view3D>
      <c:rotX val="40"/>
      <c:rotY val="2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200424415033237E-2"/>
          <c:y val="0.24418046385748751"/>
          <c:w val="0.94279938072629477"/>
          <c:h val="0.75581982735620645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9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1A0-4E5E-8F3A-CC49ABDDB98C}"/>
              </c:ext>
            </c:extLst>
          </c:dPt>
          <c:dPt>
            <c:idx val="1"/>
            <c:bubble3D val="0"/>
            <c:explosion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71A0-4E5E-8F3A-CC49ABDDB98C}"/>
              </c:ext>
            </c:extLst>
          </c:dPt>
          <c:dLbls>
            <c:dLbl>
              <c:idx val="0"/>
              <c:layout>
                <c:manualLayout>
                  <c:x val="-6.3329386498238549E-2"/>
                  <c:y val="-0.13557706894609745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38A9DE4D-14D6-4041-8AC4-B3A9C5F1956F}" type="CATEGORYNAME">
                      <a:rPr lang="ka-GE" sz="800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sz="800" baseline="0"/>
                      <a:t>
51%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9759327204518278"/>
                      <c:h val="0.3278281670487391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1A0-4E5E-8F3A-CC49ABDDB98C}"/>
                </c:ext>
              </c:extLst>
            </c:dLbl>
            <c:dLbl>
              <c:idx val="1"/>
              <c:layout>
                <c:manualLayout>
                  <c:x val="0.21746096443826873"/>
                  <c:y val="0.11473271537260378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82618A58-BA83-4388-A5F7-14E8C83453B3}" type="CATEGORYNAME">
                      <a:rPr lang="ka-GE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baseline="0"/>
                      <a:t>
49%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3553517575009001"/>
                      <c:h val="0.2656320808000265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1A0-4E5E-8F3A-CC49ABDDB9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GVT'!$L$39:$L$40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'SEP-20 GVT'!$M$39:$M$40</c:f>
              <c:numCache>
                <c:formatCode>_(* #,##0_);_(* \(#,##0\);_(* "-"??_);_(@_)</c:formatCode>
                <c:ptCount val="2"/>
                <c:pt idx="0">
                  <c:v>3427189.6100270003</c:v>
                </c:pt>
                <c:pt idx="1">
                  <c:v>3081201.5321520008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1A0-4E5E-8F3A-CC49ABDDB98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0.00028</cdr:y>
    </cdr:from>
    <cdr:to>
      <cdr:x>1</cdr:x>
      <cdr:y>0.15915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402"/>
          <a:ext cx="2011045" cy="2281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a-GE" sz="900" b="0">
              <a:effectLst/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სავალუტო   სტრუქტურა</a:t>
          </a:r>
          <a:endParaRPr lang="en-US" sz="900" b="0">
            <a:effectLst/>
            <a:latin typeface="Calibri" panose="020F0502020204030204" pitchFamily="34" charset="0"/>
            <a:cs typeface="Calibri" panose="020F0502020204030204" pitchFamily="34" charset="0"/>
          </a:endParaRPr>
        </a:p>
        <a:p xmlns:a="http://schemas.openxmlformats.org/drawingml/2006/main">
          <a:pPr algn="ctr"/>
          <a:endParaRPr lang="en-US" sz="900" b="0">
            <a:latin typeface="Calibri" panose="020F0502020204030204" pitchFamily="34" charset="0"/>
            <a:cs typeface="Calibri" panose="020F0502020204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6A3C8-7749-4BFD-B768-01550B98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Shanshiashvili</dc:creator>
  <cp:keywords/>
  <dc:description/>
  <cp:lastModifiedBy>Inga Gurgenidze</cp:lastModifiedBy>
  <cp:revision>9</cp:revision>
  <cp:lastPrinted>2022-07-12T10:54:00Z</cp:lastPrinted>
  <dcterms:created xsi:type="dcterms:W3CDTF">2023-10-17T12:12:00Z</dcterms:created>
  <dcterms:modified xsi:type="dcterms:W3CDTF">2023-10-30T13:04:00Z</dcterms:modified>
</cp:coreProperties>
</file>